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454D7" w:rsidRDefault="00050364" w:rsidP="003454D7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675120" cy="796925"/>
            <wp:effectExtent l="19050" t="0" r="0" b="0"/>
            <wp:docPr id="4" name="Picture 3" descr="Bann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4B" w:rsidRDefault="0087574B" w:rsidP="0087574B">
      <w:pPr>
        <w:rPr>
          <w:b/>
        </w:rPr>
      </w:pPr>
      <w:r w:rsidRPr="009077D7">
        <w:rPr>
          <w:b/>
        </w:rPr>
        <w:t xml:space="preserve">Procedures </w:t>
      </w:r>
      <w:r>
        <w:rPr>
          <w:b/>
        </w:rPr>
        <w:t>f</w:t>
      </w:r>
      <w:r w:rsidRPr="009077D7">
        <w:rPr>
          <w:b/>
        </w:rPr>
        <w:t xml:space="preserve">or Storing </w:t>
      </w:r>
      <w:r>
        <w:rPr>
          <w:b/>
        </w:rPr>
        <w:t>Data at</w:t>
      </w:r>
      <w:r w:rsidRPr="009077D7">
        <w:rPr>
          <w:b/>
        </w:rPr>
        <w:t xml:space="preserve"> </w:t>
      </w:r>
      <w:r>
        <w:rPr>
          <w:b/>
        </w:rPr>
        <w:t xml:space="preserve">the </w:t>
      </w:r>
      <w:r w:rsidR="00050364">
        <w:rPr>
          <w:b/>
        </w:rPr>
        <w:t>Environmental Dataset</w:t>
      </w:r>
      <w:r w:rsidRPr="009077D7">
        <w:rPr>
          <w:b/>
        </w:rPr>
        <w:t xml:space="preserve"> Gateway </w:t>
      </w:r>
      <w:r w:rsidR="00050364">
        <w:rPr>
          <w:b/>
        </w:rPr>
        <w:t>(E</w:t>
      </w:r>
      <w:r>
        <w:rPr>
          <w:b/>
        </w:rPr>
        <w:t xml:space="preserve">DG) </w:t>
      </w:r>
      <w:r w:rsidRPr="009077D7">
        <w:rPr>
          <w:b/>
        </w:rPr>
        <w:t>Download Locations</w:t>
      </w:r>
      <w:r>
        <w:rPr>
          <w:b/>
        </w:rPr>
        <w:t xml:space="preserve"> </w:t>
      </w:r>
    </w:p>
    <w:p w:rsidR="0087574B" w:rsidRDefault="0087574B" w:rsidP="0087574B">
      <w:pPr>
        <w:jc w:val="both"/>
      </w:pPr>
      <w:r>
        <w:t xml:space="preserve">Some </w:t>
      </w:r>
      <w:r w:rsidR="00050364">
        <w:t>E</w:t>
      </w:r>
      <w:r w:rsidR="003A1783">
        <w:t>DG</w:t>
      </w:r>
      <w:r>
        <w:t xml:space="preserve"> contributors would like to provide online access to their data but </w:t>
      </w:r>
      <w:r w:rsidR="009405C4">
        <w:t>may</w:t>
      </w:r>
      <w:r>
        <w:t xml:space="preserve"> not have the capability or do not want to provide direct access to the information on their </w:t>
      </w:r>
      <w:r w:rsidR="00050364">
        <w:t>servers.  For those users, the E</w:t>
      </w:r>
      <w:r>
        <w:t xml:space="preserve">DG provides 2 storage locations that may </w:t>
      </w:r>
      <w:r w:rsidR="003563A3">
        <w:t xml:space="preserve">be </w:t>
      </w:r>
      <w:r>
        <w:t>use</w:t>
      </w:r>
      <w:r w:rsidR="003563A3">
        <w:t>d</w:t>
      </w:r>
      <w:r>
        <w:t xml:space="preserve"> to store and provide online access</w:t>
      </w:r>
      <w:r w:rsidR="0073595B">
        <w:t xml:space="preserve"> to data</w:t>
      </w:r>
      <w:r w:rsidR="006E7C44">
        <w:t>.  The</w:t>
      </w:r>
      <w:r>
        <w:t xml:space="preserve"> locations are referred to as</w:t>
      </w:r>
      <w:r w:rsidR="003A1783">
        <w:t xml:space="preserve"> the</w:t>
      </w:r>
      <w:r>
        <w:t xml:space="preserve"> </w:t>
      </w:r>
      <w:r w:rsidR="00050364">
        <w:rPr>
          <w:b/>
        </w:rPr>
        <w:t>‘E</w:t>
      </w:r>
      <w:r w:rsidRPr="00C1372A">
        <w:rPr>
          <w:b/>
        </w:rPr>
        <w:t>DG Download Locations’</w:t>
      </w:r>
      <w:r>
        <w:t xml:space="preserve">.  Any EPA office </w:t>
      </w:r>
      <w:r w:rsidR="00050364">
        <w:t>that publishes metadata to the E</w:t>
      </w:r>
      <w:r>
        <w:t xml:space="preserve">DG </w:t>
      </w:r>
      <w:r w:rsidR="00700422">
        <w:t>can use</w:t>
      </w:r>
      <w:r w:rsidR="00050364">
        <w:t xml:space="preserve"> the E</w:t>
      </w:r>
      <w:r>
        <w:t>DG Download Locations to store their</w:t>
      </w:r>
      <w:r w:rsidR="003A37E5">
        <w:t xml:space="preserve"> data</w:t>
      </w:r>
      <w:r>
        <w:t>.</w:t>
      </w:r>
      <w:r w:rsidR="00E9181E">
        <w:t xml:space="preserve"> </w:t>
      </w:r>
    </w:p>
    <w:p w:rsidR="0087574B" w:rsidRDefault="00050364" w:rsidP="0087574B">
      <w:pPr>
        <w:jc w:val="both"/>
      </w:pPr>
      <w:r>
        <w:t>One of the E</w:t>
      </w:r>
      <w:r w:rsidR="0087574B">
        <w:t xml:space="preserve">DG Download Locations is an </w:t>
      </w:r>
      <w:r w:rsidR="0087574B" w:rsidRPr="006F5235">
        <w:rPr>
          <w:b/>
        </w:rPr>
        <w:t>internal only URL</w:t>
      </w:r>
      <w:r w:rsidR="0087574B">
        <w:t xml:space="preserve"> that is available only to those users who are able to access the EPA’s intranet; the other is an </w:t>
      </w:r>
      <w:r w:rsidR="0087574B" w:rsidRPr="006F37D0">
        <w:rPr>
          <w:b/>
        </w:rPr>
        <w:t>internal/external location</w:t>
      </w:r>
      <w:r w:rsidR="0087574B">
        <w:t xml:space="preserve"> that is made available to both internal EPA and external public users.  Procedures for using and maintaining information posted to these locations are outlined below.  </w:t>
      </w:r>
    </w:p>
    <w:p w:rsidR="0087574B" w:rsidRPr="0087574B" w:rsidRDefault="0087574B" w:rsidP="0087574B">
      <w:pPr>
        <w:rPr>
          <w:b/>
        </w:rPr>
      </w:pPr>
      <w:r w:rsidRPr="001F7160">
        <w:rPr>
          <w:b/>
        </w:rPr>
        <w:t>The base URLs for the download locations are:</w:t>
      </w:r>
    </w:p>
    <w:p w:rsidR="0087574B" w:rsidRDefault="0087574B" w:rsidP="0087574B">
      <w:pPr>
        <w:pStyle w:val="Bullet2"/>
      </w:pPr>
      <w:r w:rsidRPr="000A6839">
        <w:rPr>
          <w:b/>
        </w:rPr>
        <w:t>Internal:</w:t>
      </w:r>
      <w:r>
        <w:t xml:space="preserve"> </w:t>
      </w:r>
      <w:hyperlink r:id="rId6" w:history="1">
        <w:r w:rsidR="00B52040" w:rsidRPr="005B4C6D">
          <w:rPr>
            <w:rStyle w:val="Hyperlink"/>
          </w:rPr>
          <w:t>http://edg-intranet.epa.gov/data</w:t>
        </w:r>
      </w:hyperlink>
    </w:p>
    <w:p w:rsidR="0087574B" w:rsidRDefault="0087574B" w:rsidP="0087574B">
      <w:pPr>
        <w:pStyle w:val="Bullet2"/>
        <w:rPr>
          <w:lang w:val="pt-BR"/>
        </w:rPr>
      </w:pPr>
      <w:r w:rsidRPr="000A6839">
        <w:rPr>
          <w:b/>
          <w:lang w:val="pt-BR"/>
        </w:rPr>
        <w:t>External:</w:t>
      </w:r>
      <w:r w:rsidRPr="00191EF9">
        <w:rPr>
          <w:lang w:val="pt-BR"/>
        </w:rPr>
        <w:t xml:space="preserve"> </w:t>
      </w:r>
      <w:hyperlink r:id="rId7" w:history="1">
        <w:r w:rsidR="00B52040" w:rsidRPr="005B4C6D">
          <w:rPr>
            <w:rStyle w:val="Hyperlink"/>
            <w:lang w:val="pt-BR"/>
          </w:rPr>
          <w:t>http://edg.epa.gov/data</w:t>
        </w:r>
      </w:hyperlink>
    </w:p>
    <w:p w:rsidR="00E07DF0" w:rsidRDefault="00E07DF0" w:rsidP="00E07DF0">
      <w:pPr>
        <w:pStyle w:val="Bullet2"/>
        <w:numPr>
          <w:ilvl w:val="0"/>
          <w:numId w:val="0"/>
        </w:numPr>
        <w:ind w:left="1080"/>
        <w:rPr>
          <w:lang w:val="pt-BR"/>
        </w:rPr>
      </w:pPr>
    </w:p>
    <w:p w:rsidR="0087574B" w:rsidRDefault="0087574B" w:rsidP="0087574B">
      <w:pPr>
        <w:jc w:val="both"/>
      </w:pPr>
      <w:r w:rsidRPr="00191EF9">
        <w:t xml:space="preserve">Offices posting information to </w:t>
      </w:r>
      <w:r w:rsidR="00050364">
        <w:t>EDG</w:t>
      </w:r>
      <w:r w:rsidRPr="00191EF9">
        <w:t xml:space="preserve"> will be provided with office-specific folders to which they can post information</w:t>
      </w:r>
      <w:r>
        <w:t>.  The naming convention used for the download locations is as follows: http://[base_URL]/</w:t>
      </w:r>
      <w:r w:rsidR="00CC6118">
        <w:t>data/</w:t>
      </w:r>
      <w:r>
        <w:t>[office_name], with [</w:t>
      </w:r>
      <w:proofErr w:type="spellStart"/>
      <w:r>
        <w:t>office_name</w:t>
      </w:r>
      <w:proofErr w:type="spellEnd"/>
      <w:r>
        <w:t>] replaced by R1, R2, OAR,</w:t>
      </w:r>
      <w:r w:rsidR="0073595B">
        <w:t xml:space="preserve"> OEI, etc. (For example, OEI</w:t>
      </w:r>
      <w:r>
        <w:t xml:space="preserve"> has a folder at the internal storage location called </w:t>
      </w:r>
      <w:r w:rsidRPr="001969C6">
        <w:t>http://</w:t>
      </w:r>
      <w:r w:rsidR="00B52040">
        <w:t>edg</w:t>
      </w:r>
      <w:r w:rsidRPr="001969C6">
        <w:t>-intranet.epa.gov/data/OE</w:t>
      </w:r>
      <w:r>
        <w:t>I</w:t>
      </w:r>
      <w:r w:rsidRPr="001969C6">
        <w:t>/</w:t>
      </w:r>
      <w:r>
        <w:t xml:space="preserve">).   </w:t>
      </w:r>
      <w:r w:rsidR="006E7C44">
        <w:t>D</w:t>
      </w:r>
      <w:r>
        <w:t xml:space="preserve">irectories </w:t>
      </w:r>
      <w:r w:rsidR="006E7C44">
        <w:t xml:space="preserve">are set up </w:t>
      </w:r>
      <w:r>
        <w:t xml:space="preserve">for each office as needed.  </w:t>
      </w:r>
    </w:p>
    <w:p w:rsidR="0087574B" w:rsidRPr="00191EF9" w:rsidRDefault="0087574B" w:rsidP="0087574B">
      <w:pPr>
        <w:jc w:val="both"/>
      </w:pPr>
      <w:r>
        <w:t xml:space="preserve">The step-by-step process is </w:t>
      </w:r>
      <w:r w:rsidR="009405C4">
        <w:t>as follows:</w:t>
      </w:r>
    </w:p>
    <w:p w:rsidR="0087574B" w:rsidRDefault="0087574B" w:rsidP="0087574B">
      <w:pPr>
        <w:numPr>
          <w:ilvl w:val="0"/>
          <w:numId w:val="7"/>
        </w:numPr>
        <w:spacing w:after="0" w:line="240" w:lineRule="auto"/>
      </w:pPr>
      <w:r>
        <w:t xml:space="preserve">Determine if you would like to store </w:t>
      </w:r>
      <w:r w:rsidR="00824A09">
        <w:t>data</w:t>
      </w:r>
      <w:r>
        <w:t xml:space="preserve"> at the </w:t>
      </w:r>
      <w:r w:rsidRPr="00BF07A3">
        <w:rPr>
          <w:b/>
        </w:rPr>
        <w:t>Internal</w:t>
      </w:r>
      <w:r>
        <w:t xml:space="preserve"> or </w:t>
      </w:r>
      <w:r w:rsidRPr="00BF07A3">
        <w:rPr>
          <w:b/>
        </w:rPr>
        <w:t>External</w:t>
      </w:r>
      <w:r>
        <w:t xml:space="preserve"> </w:t>
      </w:r>
      <w:r w:rsidR="00050364">
        <w:t>EDG</w:t>
      </w:r>
      <w:r>
        <w:t xml:space="preserve"> Download Location (or both).  This </w:t>
      </w:r>
      <w:r w:rsidR="00824A09">
        <w:t xml:space="preserve">is generally </w:t>
      </w:r>
      <w:r>
        <w:t>determined by your data sen</w:t>
      </w:r>
      <w:r w:rsidR="0090621C">
        <w:t>sitivity or access restrictions</w:t>
      </w:r>
      <w:r>
        <w:t xml:space="preserve"> and should align with your metadata access policy (restricted/unrestricted). </w:t>
      </w:r>
    </w:p>
    <w:p w:rsidR="006E7C44" w:rsidRDefault="006E7C44" w:rsidP="006E7C44">
      <w:pPr>
        <w:spacing w:after="0" w:line="240" w:lineRule="auto"/>
        <w:ind w:left="720"/>
      </w:pPr>
    </w:p>
    <w:p w:rsidR="009405C4" w:rsidRDefault="00C4711E" w:rsidP="009405C4">
      <w:pPr>
        <w:numPr>
          <w:ilvl w:val="0"/>
          <w:numId w:val="7"/>
        </w:numPr>
        <w:spacing w:after="0" w:line="240" w:lineRule="auto"/>
      </w:pPr>
      <w:r>
        <w:t>E</w:t>
      </w:r>
      <w:r w:rsidR="0087574B">
        <w:t xml:space="preserve">mail Jessica Zichichi </w:t>
      </w:r>
      <w:hyperlink r:id="rId8" w:history="1">
        <w:r w:rsidR="00561CCC" w:rsidRPr="00125B8C">
          <w:rPr>
            <w:rStyle w:val="Hyperlink"/>
          </w:rPr>
          <w:t>jzichichi@innovateteam.com</w:t>
        </w:r>
      </w:hyperlink>
      <w:r w:rsidR="0087574B">
        <w:t xml:space="preserve"> and/or </w:t>
      </w:r>
      <w:r w:rsidR="00B52040">
        <w:t>Alexandra Walrath</w:t>
      </w:r>
      <w:r w:rsidR="0087574B">
        <w:t xml:space="preserve"> </w:t>
      </w:r>
      <w:hyperlink r:id="rId9" w:history="1">
        <w:r w:rsidR="00B52040" w:rsidRPr="005B4C6D">
          <w:rPr>
            <w:rStyle w:val="Hyperlink"/>
          </w:rPr>
          <w:t>awalrath@innovateteam.com</w:t>
        </w:r>
      </w:hyperlink>
      <w:r w:rsidR="00B52040">
        <w:t xml:space="preserve"> </w:t>
      </w:r>
      <w:r w:rsidR="0087574B">
        <w:t xml:space="preserve">and </w:t>
      </w:r>
      <w:r>
        <w:t xml:space="preserve">identify which storage location is desired.  </w:t>
      </w:r>
      <w:r w:rsidR="0087574B">
        <w:t xml:space="preserve">Jessica and </w:t>
      </w:r>
      <w:r w:rsidR="00B52040">
        <w:t>Alexandra</w:t>
      </w:r>
      <w:r w:rsidR="0087574B">
        <w:t xml:space="preserve"> will coordinate with you to assist </w:t>
      </w:r>
      <w:r w:rsidR="00824A09">
        <w:t>with</w:t>
      </w:r>
      <w:r w:rsidR="0087574B">
        <w:t xml:space="preserve"> posting files and providing </w:t>
      </w:r>
      <w:r w:rsidR="00824A09">
        <w:t xml:space="preserve">your </w:t>
      </w:r>
      <w:r w:rsidR="0087574B">
        <w:t xml:space="preserve">online linkage </w:t>
      </w:r>
      <w:r w:rsidR="00824A09">
        <w:t xml:space="preserve">information for </w:t>
      </w:r>
      <w:r w:rsidR="0087574B">
        <w:t>your metadata records.</w:t>
      </w:r>
      <w:r w:rsidR="006E7C44">
        <w:t xml:space="preserve">  </w:t>
      </w:r>
    </w:p>
    <w:p w:rsidR="009405C4" w:rsidRDefault="009405C4" w:rsidP="009405C4">
      <w:pPr>
        <w:spacing w:after="0" w:line="240" w:lineRule="auto"/>
      </w:pPr>
    </w:p>
    <w:p w:rsidR="008A5984" w:rsidRDefault="009405C4" w:rsidP="009405C4">
      <w:pPr>
        <w:numPr>
          <w:ilvl w:val="0"/>
          <w:numId w:val="7"/>
        </w:numPr>
        <w:spacing w:after="0" w:line="240" w:lineRule="auto"/>
      </w:pPr>
      <w:r>
        <w:t xml:space="preserve">Post your data to the </w:t>
      </w:r>
      <w:r w:rsidR="00050364">
        <w:t>EDG</w:t>
      </w:r>
      <w:r>
        <w:t xml:space="preserve"> Storage Locations.  </w:t>
      </w:r>
      <w:r w:rsidR="006E7C44">
        <w:t>You can choose t</w:t>
      </w:r>
      <w:r>
        <w:t xml:space="preserve">o </w:t>
      </w:r>
      <w:r w:rsidR="00824A09">
        <w:t xml:space="preserve">either </w:t>
      </w:r>
      <w:r w:rsidRPr="00824A09">
        <w:rPr>
          <w:b/>
        </w:rPr>
        <w:t>e</w:t>
      </w:r>
      <w:r w:rsidR="008A5984" w:rsidRPr="00824A09">
        <w:rPr>
          <w:b/>
        </w:rPr>
        <w:t>mail</w:t>
      </w:r>
      <w:r w:rsidR="008A5984">
        <w:t xml:space="preserve"> your data directly to Jessica </w:t>
      </w:r>
      <w:r w:rsidR="00E417D3">
        <w:t xml:space="preserve">or Alexandra </w:t>
      </w:r>
      <w:r>
        <w:t xml:space="preserve">or </w:t>
      </w:r>
      <w:r w:rsidRPr="00824A09">
        <w:rPr>
          <w:b/>
        </w:rPr>
        <w:t>p</w:t>
      </w:r>
      <w:r w:rsidR="008A5984" w:rsidRPr="00824A09">
        <w:rPr>
          <w:b/>
        </w:rPr>
        <w:t xml:space="preserve">ost </w:t>
      </w:r>
      <w:r w:rsidR="006E7C44">
        <w:t xml:space="preserve">your </w:t>
      </w:r>
      <w:r w:rsidR="008A5984">
        <w:t xml:space="preserve">data to the </w:t>
      </w:r>
      <w:r w:rsidR="00050364">
        <w:t>EDG</w:t>
      </w:r>
      <w:r w:rsidR="006E7C44">
        <w:t xml:space="preserve"> </w:t>
      </w:r>
      <w:r w:rsidR="00824A09">
        <w:t>server using</w:t>
      </w:r>
      <w:r w:rsidR="006E7C44">
        <w:t xml:space="preserve"> ftp</w:t>
      </w:r>
      <w:r w:rsidR="00E81252">
        <w:t xml:space="preserve">. To ftp data to the </w:t>
      </w:r>
      <w:r w:rsidR="00824A09">
        <w:t>server</w:t>
      </w:r>
      <w:r w:rsidR="00E81252">
        <w:t>, take the following steps:</w:t>
      </w:r>
    </w:p>
    <w:p w:rsidR="00E81252" w:rsidRDefault="00E81252" w:rsidP="000458AD">
      <w:pPr>
        <w:numPr>
          <w:ilvl w:val="1"/>
          <w:numId w:val="9"/>
        </w:numPr>
        <w:spacing w:after="0" w:line="240" w:lineRule="auto"/>
      </w:pPr>
      <w:r>
        <w:t xml:space="preserve">Verify with Jessica </w:t>
      </w:r>
      <w:r w:rsidR="00E417D3">
        <w:t xml:space="preserve">or Alexandra </w:t>
      </w:r>
      <w:r>
        <w:t xml:space="preserve">that your AA account has been assigned to the internal </w:t>
      </w:r>
      <w:r w:rsidR="00050364">
        <w:t>EDG</w:t>
      </w:r>
      <w:r>
        <w:t xml:space="preserve"> S</w:t>
      </w:r>
      <w:r w:rsidR="00824A09">
        <w:t>erver</w:t>
      </w:r>
    </w:p>
    <w:p w:rsidR="00E81252" w:rsidRDefault="00E81252" w:rsidP="000458AD">
      <w:pPr>
        <w:numPr>
          <w:ilvl w:val="1"/>
          <w:numId w:val="9"/>
        </w:numPr>
        <w:spacing w:after="0" w:line="240" w:lineRule="auto"/>
      </w:pPr>
      <w:r>
        <w:t>Open your ftp client tool</w:t>
      </w:r>
      <w:r w:rsidR="0019688D">
        <w:t xml:space="preserve"> (</w:t>
      </w:r>
      <w:r w:rsidR="0019688D" w:rsidRPr="0009237F">
        <w:rPr>
          <w:b/>
        </w:rPr>
        <w:t>ensure that passive FTP is unchecked or disabled</w:t>
      </w:r>
      <w:r w:rsidR="0019688D">
        <w:t>)</w:t>
      </w:r>
    </w:p>
    <w:p w:rsidR="00E81252" w:rsidRDefault="00E81252" w:rsidP="000458AD">
      <w:pPr>
        <w:numPr>
          <w:ilvl w:val="1"/>
          <w:numId w:val="9"/>
        </w:numPr>
        <w:spacing w:after="0" w:line="240" w:lineRule="auto"/>
      </w:pPr>
      <w:r>
        <w:t>Type ‘geogateway-intranet.epa.gov’ for the Host or URL</w:t>
      </w:r>
    </w:p>
    <w:p w:rsidR="00E81252" w:rsidRDefault="00E81252" w:rsidP="000458AD">
      <w:pPr>
        <w:numPr>
          <w:ilvl w:val="1"/>
          <w:numId w:val="9"/>
        </w:numPr>
        <w:spacing w:after="0" w:line="240" w:lineRule="auto"/>
      </w:pPr>
      <w:r>
        <w:t>Type in your user name and password</w:t>
      </w:r>
      <w:r w:rsidR="003A37E5">
        <w:t xml:space="preserve"> (user name must be entered as </w:t>
      </w:r>
      <w:proofErr w:type="spellStart"/>
      <w:r w:rsidR="003A37E5" w:rsidRPr="00FC22EE">
        <w:rPr>
          <w:b/>
        </w:rPr>
        <w:t>aa</w:t>
      </w:r>
      <w:proofErr w:type="spellEnd"/>
      <w:r w:rsidR="003A37E5" w:rsidRPr="00FC22EE">
        <w:rPr>
          <w:b/>
        </w:rPr>
        <w:t>\user name</w:t>
      </w:r>
      <w:r w:rsidR="003A37E5">
        <w:t>)</w:t>
      </w:r>
    </w:p>
    <w:p w:rsidR="00E81252" w:rsidRDefault="00E81252" w:rsidP="003A37E5">
      <w:pPr>
        <w:numPr>
          <w:ilvl w:val="1"/>
          <w:numId w:val="9"/>
        </w:numPr>
        <w:spacing w:after="0" w:line="240" w:lineRule="auto"/>
      </w:pPr>
      <w:r>
        <w:t xml:space="preserve">Connect to </w:t>
      </w:r>
      <w:r w:rsidR="003A37E5">
        <w:t>site and n</w:t>
      </w:r>
      <w:r>
        <w:t>avigate to your folder</w:t>
      </w:r>
    </w:p>
    <w:p w:rsidR="00E81252" w:rsidRDefault="00E81252" w:rsidP="000458AD">
      <w:pPr>
        <w:numPr>
          <w:ilvl w:val="1"/>
          <w:numId w:val="9"/>
        </w:numPr>
        <w:spacing w:after="0" w:line="240" w:lineRule="auto"/>
      </w:pPr>
      <w:r>
        <w:t>Upload information to your folder</w:t>
      </w:r>
    </w:p>
    <w:p w:rsidR="00E81252" w:rsidRDefault="00E81252" w:rsidP="00E81252">
      <w:pPr>
        <w:spacing w:after="0" w:line="240" w:lineRule="auto"/>
        <w:ind w:left="1440"/>
      </w:pPr>
    </w:p>
    <w:p w:rsidR="00E81252" w:rsidRDefault="00E81252" w:rsidP="00E81252">
      <w:pPr>
        <w:spacing w:after="0" w:line="240" w:lineRule="auto"/>
        <w:ind w:left="1440"/>
      </w:pPr>
    </w:p>
    <w:p w:rsidR="006E7C44" w:rsidRDefault="006E7C44" w:rsidP="00E81252">
      <w:pPr>
        <w:numPr>
          <w:ilvl w:val="0"/>
          <w:numId w:val="7"/>
        </w:numPr>
        <w:spacing w:after="0" w:line="240" w:lineRule="auto"/>
      </w:pPr>
      <w:r>
        <w:lastRenderedPageBreak/>
        <w:t xml:space="preserve">If you are planning to make your data publicly available, the data will be moved to the </w:t>
      </w:r>
      <w:r w:rsidR="00050364">
        <w:t>EDG</w:t>
      </w:r>
      <w:r>
        <w:t xml:space="preserve"> External Storage Location.</w:t>
      </w:r>
    </w:p>
    <w:p w:rsidR="00C4711E" w:rsidRDefault="00C4711E" w:rsidP="00C4711E">
      <w:pPr>
        <w:spacing w:after="0" w:line="240" w:lineRule="auto"/>
        <w:ind w:left="1440"/>
      </w:pPr>
    </w:p>
    <w:p w:rsidR="0087574B" w:rsidRDefault="0087574B" w:rsidP="0087574B">
      <w:pPr>
        <w:numPr>
          <w:ilvl w:val="0"/>
          <w:numId w:val="7"/>
        </w:numPr>
        <w:spacing w:after="0" w:line="240" w:lineRule="auto"/>
      </w:pPr>
      <w:r>
        <w:t xml:space="preserve">After data are loaded, it is important to make sure to update </w:t>
      </w:r>
      <w:r w:rsidR="00C4711E">
        <w:t>your</w:t>
      </w:r>
      <w:r>
        <w:t xml:space="preserve"> metadata record to point to the download location and to make sure that the record type is specified appropriately.  </w:t>
      </w:r>
      <w:r>
        <w:br/>
      </w:r>
    </w:p>
    <w:p w:rsidR="0087574B" w:rsidRDefault="0087574B" w:rsidP="00EA602E">
      <w:pPr>
        <w:numPr>
          <w:ilvl w:val="1"/>
          <w:numId w:val="7"/>
        </w:numPr>
        <w:spacing w:after="0" w:line="240" w:lineRule="auto"/>
      </w:pPr>
      <w:r>
        <w:t>Pointing the metadata record to the data storage location is done using the online linkage (&lt;</w:t>
      </w:r>
      <w:proofErr w:type="spellStart"/>
      <w:r>
        <w:t>onlink</w:t>
      </w:r>
      <w:proofErr w:type="spellEnd"/>
      <w:r>
        <w:t>&gt;) element.</w:t>
      </w:r>
      <w:r w:rsidRPr="003F2D1F">
        <w:t xml:space="preserve"> </w:t>
      </w:r>
      <w:r>
        <w:t xml:space="preserve">The online linkage element is located in Section 1 of the metadata record and may be repeated.  The first link in the record is known generally as the primary linkage.  The </w:t>
      </w:r>
      <w:r w:rsidRPr="00275484">
        <w:t>primary linkage</w:t>
      </w:r>
      <w:r>
        <w:t xml:space="preserve"> should be filled out so that it points to your data storage location, with the full folder and file name included: </w:t>
      </w:r>
    </w:p>
    <w:p w:rsidR="0087574B" w:rsidRDefault="0087574B" w:rsidP="0087574B">
      <w:pPr>
        <w:numPr>
          <w:ilvl w:val="0"/>
          <w:numId w:val="11"/>
        </w:numPr>
        <w:spacing w:after="0" w:line="240" w:lineRule="auto"/>
      </w:pPr>
      <w:r w:rsidRPr="00EE6FB8">
        <w:rPr>
          <w:b/>
        </w:rPr>
        <w:t>&lt;onlink&gt;http://</w:t>
      </w:r>
      <w:r w:rsidR="00137120">
        <w:rPr>
          <w:b/>
        </w:rPr>
        <w:t>edg</w:t>
      </w:r>
      <w:r w:rsidRPr="00EE6FB8">
        <w:rPr>
          <w:b/>
        </w:rPr>
        <w:t>-intranet.epa.gov/data/[office]/[file]&lt;/onlink&gt;</w:t>
      </w:r>
    </w:p>
    <w:p w:rsidR="0087574B" w:rsidRDefault="0087574B" w:rsidP="0087574B">
      <w:pPr>
        <w:numPr>
          <w:ilvl w:val="0"/>
          <w:numId w:val="11"/>
        </w:numPr>
        <w:spacing w:after="0" w:line="240" w:lineRule="auto"/>
      </w:pPr>
      <w:r>
        <w:t xml:space="preserve">If you are using the EPA Metadata Editor (EME) in ArcCatalog, then you would document online linkage in Tab 1 (See Figure </w:t>
      </w:r>
      <w:r w:rsidR="00EA602E">
        <w:t>1</w:t>
      </w:r>
      <w:r w:rsidR="00E81252">
        <w:t xml:space="preserve"> below).</w:t>
      </w:r>
    </w:p>
    <w:p w:rsidR="00672EF6" w:rsidRDefault="00672EF6" w:rsidP="00672EF6">
      <w:pPr>
        <w:spacing w:after="0" w:line="240" w:lineRule="auto"/>
        <w:ind w:left="1800"/>
      </w:pPr>
    </w:p>
    <w:p w:rsidR="0087574B" w:rsidRDefault="0087574B" w:rsidP="00E81252">
      <w:pPr>
        <w:numPr>
          <w:ilvl w:val="1"/>
          <w:numId w:val="7"/>
        </w:numPr>
        <w:spacing w:after="0" w:line="240" w:lineRule="auto"/>
      </w:pPr>
      <w:r>
        <w:t>The record type is specified using the resource description (&lt;</w:t>
      </w:r>
      <w:proofErr w:type="spellStart"/>
      <w:r>
        <w:t>resdesc</w:t>
      </w:r>
      <w:proofErr w:type="spellEnd"/>
      <w:r>
        <w:t>&gt;) element</w:t>
      </w:r>
      <w:r w:rsidR="0098081E">
        <w:t xml:space="preserve"> (</w:t>
      </w:r>
      <w:r>
        <w:t>located in Section 6 of the metadata record</w:t>
      </w:r>
      <w:r w:rsidR="0098081E">
        <w:t>)</w:t>
      </w:r>
      <w:r>
        <w:t xml:space="preserve">.  Users should specify that the metadata record describes </w:t>
      </w:r>
      <w:r w:rsidRPr="003F2D1F">
        <w:rPr>
          <w:b/>
        </w:rPr>
        <w:t>Downloadable Data</w:t>
      </w:r>
      <w:r>
        <w:t xml:space="preserve"> in this element.</w:t>
      </w:r>
      <w:r w:rsidR="00E81252">
        <w:t xml:space="preserve">  </w:t>
      </w:r>
      <w:r>
        <w:t xml:space="preserve">If you are using the EPA Metadata Editor (EME), then you would document the resource description in Tab 3 (See Figure </w:t>
      </w:r>
      <w:r w:rsidR="00EA602E">
        <w:t>2</w:t>
      </w:r>
      <w:r>
        <w:t xml:space="preserve"> below).</w:t>
      </w:r>
    </w:p>
    <w:p w:rsidR="0087574B" w:rsidRDefault="0087574B" w:rsidP="0087574B">
      <w:pPr>
        <w:spacing w:after="0" w:line="240" w:lineRule="auto"/>
        <w:ind w:left="1440"/>
      </w:pPr>
    </w:p>
    <w:p w:rsidR="0087574B" w:rsidRDefault="007300B8" w:rsidP="0087574B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09.5pt;margin-top:99.65pt;width:32.5pt;height:16.7pt;z-index:251660288" o:connectortype="straight" strokecolor="red" strokeweight="3pt">
            <v:stroke endarrow="block"/>
            <v:shadow on="t" color="#4a724a [1605]" opacity=".5"/>
          </v:shape>
        </w:pict>
      </w:r>
      <w:r w:rsidR="00050364">
        <w:rPr>
          <w:noProof/>
        </w:rPr>
        <w:drawing>
          <wp:inline distT="0" distB="0" distL="0" distR="0">
            <wp:extent cx="4887321" cy="3808688"/>
            <wp:effectExtent l="19050" t="0" r="8529" b="0"/>
            <wp:docPr id="5" name="Picture 4" descr="EME_t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E_tab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083" cy="38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4B" w:rsidRPr="0087574B" w:rsidRDefault="0087574B" w:rsidP="0087574B">
      <w:pPr>
        <w:jc w:val="center"/>
        <w:rPr>
          <w:b/>
        </w:rPr>
      </w:pPr>
      <w:proofErr w:type="gramStart"/>
      <w:r w:rsidRPr="00E93A7D">
        <w:rPr>
          <w:b/>
        </w:rPr>
        <w:t xml:space="preserve">Figure </w:t>
      </w:r>
      <w:r w:rsidR="00742F7F">
        <w:rPr>
          <w:b/>
        </w:rPr>
        <w:t>1</w:t>
      </w:r>
      <w:r w:rsidRPr="00E93A7D">
        <w:rPr>
          <w:b/>
        </w:rPr>
        <w:t>.</w:t>
      </w:r>
      <w:proofErr w:type="gramEnd"/>
      <w:r w:rsidRPr="00E93A7D">
        <w:rPr>
          <w:b/>
        </w:rPr>
        <w:t xml:space="preserve"> Documenting Online Linkage in the </w:t>
      </w:r>
      <w:r>
        <w:rPr>
          <w:b/>
        </w:rPr>
        <w:t>EME</w:t>
      </w:r>
    </w:p>
    <w:p w:rsidR="0087574B" w:rsidRDefault="007300B8" w:rsidP="0087574B">
      <w:pPr>
        <w:jc w:val="center"/>
      </w:pPr>
      <w:r>
        <w:rPr>
          <w:noProof/>
        </w:rPr>
        <w:lastRenderedPageBreak/>
        <w:pict>
          <v:shape id="_x0000_s1027" type="#_x0000_t32" style="position:absolute;left:0;text-align:left;margin-left:49.3pt;margin-top:70pt;width:32.5pt;height:16.7pt;z-index:251661312" o:connectortype="straight" strokecolor="red" strokeweight="3pt">
            <v:stroke endarrow="block"/>
            <v:shadow on="t" color="#622423" opacity=".5"/>
          </v:shape>
        </w:pict>
      </w:r>
      <w:r w:rsidR="00542081">
        <w:rPr>
          <w:noProof/>
        </w:rPr>
        <w:drawing>
          <wp:inline distT="0" distB="0" distL="0" distR="0">
            <wp:extent cx="5051094" cy="3936317"/>
            <wp:effectExtent l="19050" t="0" r="0" b="0"/>
            <wp:docPr id="6" name="Picture 5" descr="EME_t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E_tab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3156" cy="393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74B" w:rsidRPr="00DB42B6" w:rsidRDefault="0087574B" w:rsidP="0087574B">
      <w:pPr>
        <w:ind w:left="360"/>
        <w:jc w:val="center"/>
        <w:rPr>
          <w:b/>
        </w:rPr>
      </w:pPr>
      <w:proofErr w:type="gramStart"/>
      <w:r w:rsidRPr="00DB42B6">
        <w:rPr>
          <w:b/>
        </w:rPr>
        <w:t xml:space="preserve">Figure </w:t>
      </w:r>
      <w:r w:rsidR="00742F7F">
        <w:rPr>
          <w:b/>
        </w:rPr>
        <w:t>2</w:t>
      </w:r>
      <w:r w:rsidRPr="00DB42B6">
        <w:rPr>
          <w:b/>
        </w:rPr>
        <w:t>.</w:t>
      </w:r>
      <w:proofErr w:type="gramEnd"/>
      <w:r w:rsidRPr="00DB42B6">
        <w:rPr>
          <w:b/>
        </w:rPr>
        <w:t xml:space="preserve"> </w:t>
      </w:r>
      <w:r>
        <w:rPr>
          <w:b/>
        </w:rPr>
        <w:t>Documenting ‘</w:t>
      </w:r>
      <w:r w:rsidRPr="00DB42B6">
        <w:rPr>
          <w:b/>
        </w:rPr>
        <w:t>Download</w:t>
      </w:r>
      <w:r>
        <w:rPr>
          <w:b/>
        </w:rPr>
        <w:t>able</w:t>
      </w:r>
      <w:r w:rsidRPr="00DB42B6">
        <w:rPr>
          <w:b/>
        </w:rPr>
        <w:t xml:space="preserve"> Data</w:t>
      </w:r>
      <w:r>
        <w:rPr>
          <w:b/>
        </w:rPr>
        <w:t>’</w:t>
      </w:r>
      <w:r w:rsidRPr="00DB42B6">
        <w:rPr>
          <w:b/>
        </w:rPr>
        <w:t xml:space="preserve"> </w:t>
      </w:r>
      <w:r>
        <w:rPr>
          <w:b/>
        </w:rPr>
        <w:t>using the EME</w:t>
      </w:r>
    </w:p>
    <w:p w:rsidR="00D75690" w:rsidRDefault="0087574B" w:rsidP="0087574B">
      <w:pPr>
        <w:numPr>
          <w:ilvl w:val="0"/>
          <w:numId w:val="7"/>
        </w:numPr>
        <w:spacing w:after="0" w:line="240" w:lineRule="auto"/>
      </w:pPr>
      <w:r>
        <w:t xml:space="preserve">Once </w:t>
      </w:r>
      <w:r w:rsidR="0098081E">
        <w:t>the metadata has been updated</w:t>
      </w:r>
      <w:r>
        <w:t xml:space="preserve">, you are ready to contribute </w:t>
      </w:r>
      <w:r w:rsidR="0098081E">
        <w:t>it</w:t>
      </w:r>
      <w:r>
        <w:t xml:space="preserve"> to the </w:t>
      </w:r>
      <w:r w:rsidR="00542081">
        <w:t>EDG</w:t>
      </w:r>
      <w:r>
        <w:t xml:space="preserve">.  </w:t>
      </w:r>
      <w:r w:rsidR="00D75690">
        <w:t xml:space="preserve">Use your standard process for contributing your new metadata to the </w:t>
      </w:r>
      <w:r w:rsidR="00542081">
        <w:t>EDG</w:t>
      </w:r>
      <w:r w:rsidR="00D75690">
        <w:t xml:space="preserve"> (harvest or upload).  </w:t>
      </w:r>
    </w:p>
    <w:p w:rsidR="00D75690" w:rsidRDefault="00D75690" w:rsidP="00D75690">
      <w:pPr>
        <w:spacing w:after="0" w:line="240" w:lineRule="auto"/>
        <w:ind w:left="720"/>
      </w:pPr>
    </w:p>
    <w:p w:rsidR="0087574B" w:rsidRDefault="0087574B" w:rsidP="0087574B">
      <w:pPr>
        <w:numPr>
          <w:ilvl w:val="0"/>
          <w:numId w:val="7"/>
        </w:numPr>
        <w:spacing w:after="0" w:line="240" w:lineRule="auto"/>
      </w:pPr>
      <w:r>
        <w:t xml:space="preserve">Once your updated information has been harvested or published to the </w:t>
      </w:r>
      <w:r w:rsidR="00542081">
        <w:t>EDG</w:t>
      </w:r>
      <w:r>
        <w:t xml:space="preserve">, it is recommended that you perform a search for your data at the </w:t>
      </w:r>
      <w:r w:rsidR="00542081">
        <w:t>EDG</w:t>
      </w:r>
      <w:r>
        <w:t xml:space="preserve"> and make sure that it shows up correctly, both with the appropriate content type identifier (Downloadable Data) and correct linkage.  </w:t>
      </w:r>
    </w:p>
    <w:p w:rsidR="00C4711E" w:rsidRDefault="00C4711E" w:rsidP="00C4711E">
      <w:pPr>
        <w:spacing w:after="0" w:line="240" w:lineRule="auto"/>
        <w:ind w:left="720"/>
        <w:jc w:val="both"/>
      </w:pPr>
    </w:p>
    <w:p w:rsidR="0087574B" w:rsidRPr="00225E64" w:rsidRDefault="0087574B" w:rsidP="00225E64">
      <w:pPr>
        <w:spacing w:after="0" w:line="240" w:lineRule="auto"/>
        <w:jc w:val="both"/>
        <w:rPr>
          <w:b/>
        </w:rPr>
      </w:pPr>
      <w:r w:rsidRPr="00225E64">
        <w:rPr>
          <w:b/>
        </w:rPr>
        <w:t xml:space="preserve">General Recommendations for Posting Data to the </w:t>
      </w:r>
      <w:r w:rsidR="00542081">
        <w:rPr>
          <w:b/>
        </w:rPr>
        <w:t>EDG</w:t>
      </w:r>
      <w:r w:rsidRPr="00225E64">
        <w:rPr>
          <w:b/>
        </w:rPr>
        <w:t xml:space="preserve"> Download Locations:</w:t>
      </w:r>
    </w:p>
    <w:p w:rsidR="0087574B" w:rsidRDefault="0087574B" w:rsidP="00225E6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Information stored in the </w:t>
      </w:r>
      <w:r w:rsidR="00542081">
        <w:t>EDG</w:t>
      </w:r>
      <w:r>
        <w:t xml:space="preserve"> Download Locations should be maintained along with the regular maintenance cycle used for managing your data locally.  At a minimum please revisit the information posted on these sites semi-annually to ensure that the data are current.  </w:t>
      </w:r>
    </w:p>
    <w:p w:rsidR="0087574B" w:rsidRDefault="0087574B" w:rsidP="00225E64">
      <w:pPr>
        <w:pStyle w:val="ListParagraph"/>
        <w:numPr>
          <w:ilvl w:val="0"/>
          <w:numId w:val="12"/>
        </w:numPr>
        <w:spacing w:after="0" w:line="240" w:lineRule="auto"/>
      </w:pPr>
      <w:r>
        <w:t>It is encouraged that, if you use shape file format for storing data, you zip your information into a single file for each layer.</w:t>
      </w:r>
    </w:p>
    <w:p w:rsidR="00C4711E" w:rsidRDefault="00C4711E" w:rsidP="00225E6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 xml:space="preserve">Information stored at either of the </w:t>
      </w:r>
      <w:r w:rsidR="00542081">
        <w:rPr>
          <w:b/>
        </w:rPr>
        <w:t>EDG</w:t>
      </w:r>
      <w:r w:rsidRPr="00225E64">
        <w:rPr>
          <w:b/>
        </w:rPr>
        <w:t xml:space="preserve"> Download Locations</w:t>
      </w:r>
      <w:r>
        <w:t xml:space="preserve"> may not exceed 4GB within each folder.  </w:t>
      </w:r>
      <w:r w:rsidRPr="00225E64">
        <w:rPr>
          <w:i/>
        </w:rPr>
        <w:t>Exceptions may be made if needed.</w:t>
      </w:r>
    </w:p>
    <w:p w:rsidR="00821FD8" w:rsidRDefault="00821FD8"/>
    <w:sectPr w:rsidR="00821FD8" w:rsidSect="003454D7">
      <w:pgSz w:w="12240" w:h="15840"/>
      <w:pgMar w:top="864" w:right="864" w:bottom="864" w:left="864" w:header="720" w:footer="720" w:gutter="0"/>
      <w:pgBorders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46258"/>
    <w:multiLevelType w:val="hybridMultilevel"/>
    <w:tmpl w:val="34C86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7C34FF"/>
    <w:multiLevelType w:val="hybridMultilevel"/>
    <w:tmpl w:val="BE1251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0265815"/>
    <w:multiLevelType w:val="hybridMultilevel"/>
    <w:tmpl w:val="D772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F3A32"/>
    <w:multiLevelType w:val="hybridMultilevel"/>
    <w:tmpl w:val="480694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BE6B5D"/>
    <w:multiLevelType w:val="hybridMultilevel"/>
    <w:tmpl w:val="507E756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1">
      <w:start w:val="1"/>
      <w:numFmt w:val="bullet"/>
      <w:lvlText w:val=""/>
      <w:lvlJc w:val="left"/>
      <w:pPr>
        <w:tabs>
          <w:tab w:val="num" w:pos="3240"/>
        </w:tabs>
        <w:ind w:left="32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5948766F"/>
    <w:multiLevelType w:val="hybridMultilevel"/>
    <w:tmpl w:val="A7945620"/>
    <w:lvl w:ilvl="0" w:tplc="91142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03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0CE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C67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26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661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6A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A48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227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53A278D"/>
    <w:multiLevelType w:val="hybridMultilevel"/>
    <w:tmpl w:val="1B9C8204"/>
    <w:lvl w:ilvl="0" w:tplc="219839FC">
      <w:start w:val="1"/>
      <w:numFmt w:val="bullet"/>
      <w:pStyle w:val="Bullet2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8E85857"/>
    <w:multiLevelType w:val="hybridMultilevel"/>
    <w:tmpl w:val="7D18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B90219"/>
    <w:multiLevelType w:val="hybridMultilevel"/>
    <w:tmpl w:val="2E3A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A7876"/>
    <w:multiLevelType w:val="hybridMultilevel"/>
    <w:tmpl w:val="38625E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08B62E8"/>
    <w:multiLevelType w:val="hybridMultilevel"/>
    <w:tmpl w:val="5AC00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AE46249"/>
    <w:multiLevelType w:val="hybridMultilevel"/>
    <w:tmpl w:val="9988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0"/>
  </w:num>
  <w:num w:numId="5">
    <w:abstractNumId w:val="2"/>
  </w:num>
  <w:num w:numId="6">
    <w:abstractNumId w:val="10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 w:numId="11">
    <w:abstractNumId w:val="4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F0E9F"/>
    <w:rsid w:val="0001298C"/>
    <w:rsid w:val="000458AD"/>
    <w:rsid w:val="00050364"/>
    <w:rsid w:val="000516B1"/>
    <w:rsid w:val="0006303A"/>
    <w:rsid w:val="0009237F"/>
    <w:rsid w:val="00137120"/>
    <w:rsid w:val="001813EC"/>
    <w:rsid w:val="0019688D"/>
    <w:rsid w:val="001A7B92"/>
    <w:rsid w:val="001F0037"/>
    <w:rsid w:val="00201C02"/>
    <w:rsid w:val="00225E64"/>
    <w:rsid w:val="00244AF8"/>
    <w:rsid w:val="00251C6D"/>
    <w:rsid w:val="00340D2A"/>
    <w:rsid w:val="003454D7"/>
    <w:rsid w:val="003563A3"/>
    <w:rsid w:val="003A1783"/>
    <w:rsid w:val="003A37E5"/>
    <w:rsid w:val="003D4329"/>
    <w:rsid w:val="00407BEF"/>
    <w:rsid w:val="004425B2"/>
    <w:rsid w:val="004616B2"/>
    <w:rsid w:val="00487E3D"/>
    <w:rsid w:val="004E3D5C"/>
    <w:rsid w:val="00542081"/>
    <w:rsid w:val="00561CCC"/>
    <w:rsid w:val="00570CEE"/>
    <w:rsid w:val="00672EF6"/>
    <w:rsid w:val="006733A3"/>
    <w:rsid w:val="006B042E"/>
    <w:rsid w:val="006E7C44"/>
    <w:rsid w:val="00700422"/>
    <w:rsid w:val="007300B8"/>
    <w:rsid w:val="0073595B"/>
    <w:rsid w:val="00742F7F"/>
    <w:rsid w:val="00743268"/>
    <w:rsid w:val="007A6979"/>
    <w:rsid w:val="00816D86"/>
    <w:rsid w:val="00821FD8"/>
    <w:rsid w:val="00822F9F"/>
    <w:rsid w:val="00824A09"/>
    <w:rsid w:val="0087574B"/>
    <w:rsid w:val="008A5984"/>
    <w:rsid w:val="008E2329"/>
    <w:rsid w:val="008F1610"/>
    <w:rsid w:val="0090621C"/>
    <w:rsid w:val="00911515"/>
    <w:rsid w:val="009405C4"/>
    <w:rsid w:val="00947B16"/>
    <w:rsid w:val="0098081E"/>
    <w:rsid w:val="009B4C0C"/>
    <w:rsid w:val="009D083C"/>
    <w:rsid w:val="00A2048B"/>
    <w:rsid w:val="00A717AB"/>
    <w:rsid w:val="00A753F1"/>
    <w:rsid w:val="00A961E2"/>
    <w:rsid w:val="00AA5B08"/>
    <w:rsid w:val="00AB2531"/>
    <w:rsid w:val="00AF0E9F"/>
    <w:rsid w:val="00B52040"/>
    <w:rsid w:val="00BC67DA"/>
    <w:rsid w:val="00BF73A7"/>
    <w:rsid w:val="00C4711E"/>
    <w:rsid w:val="00C65790"/>
    <w:rsid w:val="00CC6118"/>
    <w:rsid w:val="00D35F08"/>
    <w:rsid w:val="00D75690"/>
    <w:rsid w:val="00E06E61"/>
    <w:rsid w:val="00E07DF0"/>
    <w:rsid w:val="00E417D3"/>
    <w:rsid w:val="00E44442"/>
    <w:rsid w:val="00E7270F"/>
    <w:rsid w:val="00E81252"/>
    <w:rsid w:val="00E9181E"/>
    <w:rsid w:val="00EA602E"/>
    <w:rsid w:val="00EB7C51"/>
    <w:rsid w:val="00ED3528"/>
    <w:rsid w:val="00F23569"/>
    <w:rsid w:val="00F41873"/>
    <w:rsid w:val="00F67AC2"/>
    <w:rsid w:val="00F77375"/>
    <w:rsid w:val="00FB3231"/>
    <w:rsid w:val="00FC2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E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0D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D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D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D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D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D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1FD8"/>
    <w:rPr>
      <w:color w:val="DB5353" w:themeColor="hyperlink"/>
      <w:u w:val="single"/>
    </w:rPr>
  </w:style>
  <w:style w:type="paragraph" w:customStyle="1" w:styleId="Bullet2">
    <w:name w:val="Bullet2"/>
    <w:basedOn w:val="Normal"/>
    <w:rsid w:val="0087574B"/>
    <w:pPr>
      <w:numPr>
        <w:numId w:val="8"/>
      </w:numPr>
      <w:spacing w:after="0" w:line="240" w:lineRule="auto"/>
    </w:pPr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3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12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87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05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7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3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2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85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92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18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zichichi@innovateteam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dg.epa.gov/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g-intranet.epa.gov/data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awalrath@innovateteam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Foundry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Zichichi</dc:creator>
  <cp:lastModifiedBy>jzichichi</cp:lastModifiedBy>
  <cp:revision>5</cp:revision>
  <cp:lastPrinted>2011-02-10T20:42:00Z</cp:lastPrinted>
  <dcterms:created xsi:type="dcterms:W3CDTF">2011-03-16T09:10:00Z</dcterms:created>
  <dcterms:modified xsi:type="dcterms:W3CDTF">2011-03-18T22:45:00Z</dcterms:modified>
</cp:coreProperties>
</file>