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Aplicación de Gestión de Presupuestos: Diseño y Arquitectura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Organización de un Mapa de Contextos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Para crear un mapa de contextos para tu aplicación de gestión de presupuestos, es útil visualizar los componentes principales y sus relaciones. Aquí está una estructura básica: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Componentes Principales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- Usuario: Centro de la aplicación. Métodos de Acceso incluyen inicio de sesión con usuario y contraseña, y autenticación OAuth de Google.</w:t>
        <w:br w:type="textWrapping"/>
        <w:t xml:space="preserve">- Presupuestos: Cada usuario puede tener múltiples presupuestos.</w:t>
        <w:br w:type="textWrapping"/>
        <w:t xml:space="preserve">- Cuentas: Fuentes de financiación para los presupuestos.</w:t>
        <w:br w:type="textWrapping"/>
        <w:t xml:space="preserve">- Interacciones entre componentes: Usuarios pueden crear, modificar o eliminar presupuestos, ajustarlos según los saldos de las cuentas, y la autenticación afecta el acceso.</w:t>
        <w:br w:type="textWrapping"/>
        <w:t xml:space="preserve">- Interfaces de Usuario: Incluyen pantalla de inicio de sesión, dashboard de presupuestos, y gestión de cuentas y presupuestos..</w:t>
        <w:br w:type="textWrapping"/>
        <w:t xml:space="preserve">- Seguridad y Privacidad: Importante proteger la información del usuario y detalles financieros.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Microservicios en la Aplicación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En una arquitectura de microservicios, el manejo de autenticaciones es responsabilidad de un microservicio dedicado, a menudo llamado microservicio de autenticación. Este se diferencia del microservicio que maneja la información del usuario.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Microservicios Potenciales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Autenticación: Gestiona el inicio de sesión del usuario, ya sea con credenciales propias o mediante OAuth de Google.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Usuarios: Maneja la información del perfil del usuario, como preferencias y detalles personales.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Presupuestos: Se encarga de crear, modificar, y gestionar los presupuestos de los usuarios.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Cuentas: Gestiona las diferentes cuentas financieras (bancarias, tarjetas de crédito, etc.) de los usuarios, incluyendo detalles como saldos y transacciones.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Transacciones y Gastos: Podría ser responsable de rastrear y categorizar las transacciones y gastos relacionados con cada presupuesto.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Reportes: Genera informes y análisis financieros basados en los datos de presupuestos y transacciones.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Interfaz de Usuario (UI): Aunque no es un microservicio en el sentido tradicional, la interfaz de usuario podría estar construida como un front-end separado que interactúa con los demás microservicios.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Microservicio de API Gateway: Actúa como un punto de entrada para los otros microservicios, enrutando las solicitudes y manejando aspectos como el balanceo de carga y la autenticación de las solicitudes.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Cooperación en Arquitectura de Microservicios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NServiceBus con AWS SQS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Cooperación entre Contextos en DDD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Aplicando Diseño Guiado por el Dominio (DDD) en tu aplicación, la cooperación entre contextos delimitados se organiza a través de integración mediante traducción de contextos, compartiendo modelos de integración, y utilizando eventos de dominio.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Autenticación y Seguridad: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Responsable de la autenticación de usuarios y la seguridad de la sesión. 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Cooperación: Este contexto podría emitir tokens de seguridad o credenciales que son utilizados por otros contextos para validar las solicitudes de los usuarios.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Gestión de Usuarios: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Maneja información del perfil del usuario y preferencias.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Cooperación: Puede proporcionar detalles del usuario al contexto de Presupuestos para personalizar la experiencia, basándose en la identificación proporcionada por el contexto de autenticación.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Gestión de Presupuestos: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Centrado en la creación y administración de presupuestos.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Cooperación: Este contexto podría necesitar información de los contextos de Usuarios y Cuentas para asignar presupuestos a usuarios específicos y para ajustar los presupuestos según las transacciones de las cuentas.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Gestión de Cuentas: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ocupa de las cuentas bancarias, tarjetas de crédito y otros medios financieros.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Cooperación: Debe interactuar con el contexto de Presupuestos para proporcionar información actualizada sobre saldos y transacciones.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 de Transacciones: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Responsable de rastrear y categorizar transacciones.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Cooperación: Este contexto envía información sobre transacciones al contexto de Presupuestos para la actualización de los gastos y al contexto de Cuentas para actualizar saldos.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Context Mapping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507200" cy="1120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20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agrams.helpful.dev/s/s:wvAcKYK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