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7,700 余行判据 + 23 个工具脚本 scripts/.py 共 8,100 余行，合计约 1.6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ns）；全图判据按行切片累积、在几何帧末（第一关 40 ms、第二/三关 48 ms）发布——以少量串行换取面积，杜绝多周期状态机与时钟膨胀。（术语约定：本报告中未加限定的「帧」一律指几何帧，即拼图引擎把 64 位画面按 8 行切片比对一遍的 40/48 ms 周期；显示侧的「扫描帧」会明确写出，指点阵 8 行轮扫一遍的 8 ms 周期。）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424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24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步连奏音符发生器，输出马里奥经典音效。再看模块级细节：11 个 entity 逐个成框、逐根端口连接如下图所示（各模块的职责与端口详见 §2.3）。读图时请注意三点：① 数据通路自左向右 —— 板载输入 → 时钟与键盘采集 → 主控与存储 → 核心引擎 → 显示/音频输出 → 板载输出；② 同一个源模块出去的线共用一条主干（一根线 = 一条总线），到各自目标再分叉，因此图上没有"32 根线各带一个标签"那种糊成一片的画法；每根主干到底走了哪几根线、多少位，逐条列在 §2.3 的模块接口表里；③ 全局网络 clk（← 50 MHz 有源晶振）、rst（← clk_gen）、sw7 使能（← SW7）是一对多的分配关系，逐根画会得到 20 根长线，故改用模块角标表达，消费者与来源在图中均可查。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 → o_rst,o_tick_1k…o_tick_1hz（7 路）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i_tick,i_row[3:0] → o_col[3:0],o_key[3:0],o_press,o_release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200 Hz（两拍一轮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i_press,i_key[3:0],i_sw,i_solved → o_state[2:0],o_time[5:0],o_blink,o_sound[3:0],o_up..o_rot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i_go,i_select,i_move,i_confirm,i_rot,i_up..i_right,i_target[63:0],i_sh0..i_sh3[63:0],rnd_val[7:0] → o_rowr[63:0],o_rowg[63:0],o_solved,rnd_step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chk_slot/chk_crow/chk_hit、frm_ok、alllock_r；几何帧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 → o_val[7:0]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 → o_mask[×4],o_h[×4],o_w[×4],o_n[2:0]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i_level,i_pat[1:0] → o_mask[63:0]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 BCD 内容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i_state[2:0],i_time[5:0],i_blink → o_data[31:0],o_blank[7:0]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i_data[31:0],i_blank[7:0] → o_seg[7:0],o_cat[7:0]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i_row[2:0],i_colr[7:0],i_colg[7:0] → o_row[7:0],o_colr[7:0],o_colg[7:0]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i_en,i_sel[3:0],i_t4 → 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整机的决策流程如下图所示：圆角框为起止、矩形为处理、菱形为判断，判断分支标注 是 / 否；对局阶段是一个循环（图中用容器框圈出，三条回边汇入一条「回循环」总线）。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91302" cy="6470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me_flow.png"/>
                    <pic:cNvPicPr/>
                  </pic:nvPicPr>
                  <pic:blipFill>
                    <a:blip r:embed="rIdFig900"/>
                    <a:stretch>
                      <a:fillRect/>
                    </a:stretch>
                  </pic:blipFill>
                  <pic:spPr>
                    <a:xfrm>
                      <a:off x="0" y="0"/>
                      <a:ext cx="5391302" cy="6470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947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7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114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1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判据按行切片累积、在几何帧末发布（第一关 40 ms、第二/三关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spacing w:line="276" w:lineRule="auto" w:after="80"/>
      </w:pPr>
      <w:r>
        <w:t>关于仿真时间尺度的如实说明：本设计的最低频节拍是 1 Hz（游戏秒计数），若按 50 MHz 主频原速仿真，仅一次 60 s 限时的第三关就需要约 30 亿个时钟周期，无法在可观测的时间窗内出图。因此整机与分频链的仿真对 RTL 施加了受控的、逐条留痕的时间压缩补丁：clk_gen 的分频常数按比例缩小（50,000,000 → 10,000），整机仿真的零片随机种子、关卡限时常量与图案选择被固定，使「自检 → 三关连闯 → 结算」的完整轨迹在约 125 ms 内跑完（对应 sim/rounds/puzzle_top/r57.json 记录的 rtl_patches）。因此波形横轴的绝对时间是被压缩过的，图上读到的是节拍之间的相对先后与相位关系；所有断言判据、端口时序关系与占空比结论都不依赖绝对时间。补丁清单随每轮记录入库（rtl_patches 字段），可逐条复核；清洁重编译与上板固件不含任何补丁。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7287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728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594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59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045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0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134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1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589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58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3856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385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307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30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4926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492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22975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229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390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39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2386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23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134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1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98417" cy="18505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8417" cy="1850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94860" cy="63555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4860" cy="635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行扫描（8 行扫描一帧 = 8 ms，即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种）——“绑定坐标”的思路在任何情形下都不成立；解决措施：推翻坐标位置绑定的狭隘思路，重构为全图像素并集比较（cov_a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扫描帧刷新仅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辅助研发工具链。所用工具与用途如下（与 AI_LOG.md §1 的工具表同源）：• DeepSeek Harness（AI 编码代理，主力工具）：用于规范解析、图案逐像素解码、VHDL 状态机骨架草拟、8 位 LFSR 本原多项式抽头推导、自检测试平台断言生成、面积优化与 Quartus 编译/烧录驱动、上板调试闭环；全过程在 AI_LOG.md 按工作阶段留痕（用了什么提示词、AI 给出什么、人工如何核实与修正，含 AI 出错处）；Python 3.14 + pypdf / cryptography：课程题目 PDF 带 AES 加密，用它们提取文字层；捆绑 Python + Pillow 提取 PDF 内嵌位图，再用逐像素判色脚本还原 8×8 点阵图案，建立单一事实源；Python + itertools 穷举：零片可铺性求解（要求零片并集恰好等于目标图案），用于证明「不旋转则无解」；Quartus II 9.1 命令行：quartus_map / quartus_fit / quartus_asm / quartus_tan / quartus_sta、quartus_pgm、jtagconfig；多智能体并行审查（工作流）：把 4 个独立子代理分别派去审「键盘链路 / 状态机 / 引擎与显示 / 引脚与时序」，要求每条结论都给出文件与行号；协同工作流：遵循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Fig900" Type="http://schemas.openxmlformats.org/officeDocument/2006/relationships/image" Target="media/fig_game_flow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