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5,700 余行判据 + 17 个工具脚本 scripts/.py 共 4,700 余行，合计约 1.0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ns）；全图判据按行切片累积、在帧末（40/48 ms）发布——以少量串行换取面积，杜绝多周期状态机与时钟膨胀；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98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8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大高层级核心子系统，其全局架构与模块间交互关系如下图所示：五大子系统的职责分工如下：1.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i_clk,i_btn→o_rst,o_tick_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kp_row→kp_col,key,press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tick_200（两拍一轮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按键,i_solved→o_state,o_time,o_blink,o_sound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按键,go→rowr,rowg,solved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chk_slot/chk_crow/chk_hit、frm_ok、alllock_r；一帧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i_step→o_val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i_level→o_mask×4,o_h×4,o_w×4,o_n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i_pat→o_mask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数值,time,st→段码组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段码→seg,cat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i_row,i_colr,i_colg→o_row,o_colr,o_colg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i_sel→o_buzz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87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7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553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5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判据按行切片累积、在整帧渲染完成时发布（第一关 1 帧 = 40 ms，第二/三关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1065" cy="2943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29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3713" cy="233776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13" cy="2337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476" cy="248384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476" cy="2483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行扫描（整帧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种）——“绑定坐标”的思路在任何情形下都不成立；解决措施：推翻坐标位置绑定的狭隘思路，重构为整帧像素并集比较（cov_a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重构为整帧像素并集比较（cov_a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辅助研发工具链：• AI 编码代理（本仓库 AI_LOG.md 全程留痕，具体模型版本以使用当时为准）：用于辅助草拟 VHDL 状态机骨架代码、推导 8 位 LFSR 本原多项式抽头、辅助生成自检测试平台的断言逻辑；Python 3.14 逆向辅助代理：利用 pypdf 和 Pillow 对实验题目 PDF（共 15 页）第 9 页的图 4-1 逐像素取色对账，建立单一事实源；协同工作流：遵循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重构为全帧画面像素并集比较（frm_ok）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