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85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5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步连奏音符发生器，输出马里奥经典音效。上述子系统的全局架构、11 个 entity 之间的端口连接与全局网络分配如下图所示（各模块的职责与端口详见 §2.3）。读图时请注意三点：① 数据通路自左向右 —— 板载输入 → 时钟与键盘采集 → 主控与存储 → 核心引擎 → 显示/音频输出 → 板载输出；② 跨列的长途信号（如 clk_gen 的 t_1k 分发到引擎、数码管与顶层行计数器）统一走顶部干线带，同源同名的信号共用一条干线，到各自目的地再分开下潜，因此没有任何一根线穿过方框；③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11065" cy="5095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5095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13832" cy="27861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3832" cy="278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46243" cy="2166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6243" cy="216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