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56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200660</wp:posOffset>
            </wp:positionH>
            <wp:positionV relativeFrom="paragraph">
              <wp:posOffset>0</wp:posOffset>
            </wp:positionV>
            <wp:extent cx="454342" cy="471817"/>
            <wp:effectExtent b="0" l="0" r="0" t="0"/>
            <wp:wrapNone/>
            <wp:docPr id="10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560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5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3607118</wp:posOffset>
            </wp:positionH>
            <wp:positionV relativeFrom="paragraph">
              <wp:posOffset>220903</wp:posOffset>
            </wp:positionV>
            <wp:extent cx="1145857" cy="1509447"/>
            <wp:effectExtent b="0" l="0" r="0" t="0"/>
            <wp:wrapSquare wrapText="bothSides" distB="114300" distT="114300" distL="114300" distR="11430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" cy="1509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15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560" w:firstLine="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560" w:firstLine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560" w:firstLine="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ORIENTAÇÕES NUTRICIONAIS NO TRATAMENTO DE DIARREIA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5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u w:val="singl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tabs>
          <w:tab w:val="left" w:pos="1440"/>
        </w:tabs>
        <w:ind w:left="36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440"/>
        </w:tabs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vertAlign w:val="baseline"/>
          <w:rtl w:val="0"/>
        </w:rPr>
        <w:t xml:space="preserve">idratar-se durante o período que estiver com diarreia. </w:t>
      </w:r>
      <w:r w:rsidDel="00000000" w:rsidR="00000000" w:rsidRPr="00000000">
        <w:rPr>
          <w:rtl w:val="0"/>
        </w:rPr>
        <w:t xml:space="preserve">Ela</w:t>
      </w:r>
      <w:r w:rsidDel="00000000" w:rsidR="00000000" w:rsidRPr="00000000">
        <w:rPr>
          <w:color w:val="000000"/>
          <w:vertAlign w:val="baseline"/>
          <w:rtl w:val="0"/>
        </w:rPr>
        <w:t xml:space="preserve"> pode ser feita através do soro caseiro, fórmulas comerciais de soro de reidratação oral ou água de coco</w:t>
      </w:r>
      <w:r w:rsidDel="00000000" w:rsidR="00000000" w:rsidRPr="00000000">
        <w:rPr>
          <w:rtl w:val="0"/>
        </w:rPr>
        <w:t xml:space="preserve">, além da água </w:t>
      </w:r>
      <w:r w:rsidDel="00000000" w:rsidR="00000000" w:rsidRPr="00000000">
        <w:rPr>
          <w:color w:val="000000"/>
          <w:vertAlign w:val="baseline"/>
          <w:rtl w:val="0"/>
        </w:rPr>
        <w:t xml:space="preserve">filtrada, pois a desidratação pode causar fraqueza, mal estar, pele seca, dor de cabeça; </w:t>
      </w:r>
    </w:p>
    <w:p w:rsidR="00000000" w:rsidDel="00000000" w:rsidP="00000000" w:rsidRDefault="00000000" w:rsidRPr="00000000" w14:paraId="00000010">
      <w:pPr>
        <w:tabs>
          <w:tab w:val="left" w:pos="1440"/>
        </w:tabs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Alimentos sem fibras:</w:t>
      </w:r>
      <w:r w:rsidDel="00000000" w:rsidR="00000000" w:rsidRPr="00000000">
        <w:rPr>
          <w:color w:val="000000"/>
          <w:vertAlign w:val="baseline"/>
          <w:rtl w:val="0"/>
        </w:rPr>
        <w:t xml:space="preserve"> bolacha de água e sal, bolacha de maisena, torradas simples, canja de galinha sem pele, purê de batata, mingau de </w:t>
      </w:r>
      <w:r w:rsidDel="00000000" w:rsidR="00000000" w:rsidRPr="00000000">
        <w:rPr>
          <w:rtl w:val="0"/>
        </w:rPr>
        <w:t xml:space="preserve">maizena,</w:t>
      </w:r>
      <w:r w:rsidDel="00000000" w:rsidR="00000000" w:rsidRPr="00000000">
        <w:rPr>
          <w:color w:val="000000"/>
          <w:vertAlign w:val="baseline"/>
          <w:rtl w:val="0"/>
        </w:rPr>
        <w:t xml:space="preserve"> mingau de arroz, pão branco, arroz, macarrão, tapioca;</w:t>
      </w:r>
    </w:p>
    <w:p w:rsidR="00000000" w:rsidDel="00000000" w:rsidP="00000000" w:rsidRDefault="00000000" w:rsidRPr="00000000" w14:paraId="00000012">
      <w:pPr>
        <w:tabs>
          <w:tab w:val="left" w:pos="144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Alimento com fibra solúvel: mingau de aveia;</w:t>
      </w:r>
    </w:p>
    <w:p w:rsidR="00000000" w:rsidDel="00000000" w:rsidP="00000000" w:rsidRDefault="00000000" w:rsidRPr="00000000" w14:paraId="00000014">
      <w:p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Frutas indicadas: maçã sem casca, goiaba, banana-maçã, banana-prata, limão;</w:t>
      </w:r>
    </w:p>
    <w:p w:rsidR="00000000" w:rsidDel="00000000" w:rsidP="00000000" w:rsidRDefault="00000000" w:rsidRPr="00000000" w14:paraId="00000016">
      <w:pPr>
        <w:tabs>
          <w:tab w:val="left" w:pos="1440"/>
        </w:tabs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Legumes cozidos sem casca</w:t>
      </w:r>
      <w:r w:rsidDel="00000000" w:rsidR="00000000" w:rsidRPr="00000000">
        <w:rPr>
          <w:color w:val="000000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vertAlign w:val="baseline"/>
          <w:rtl w:val="0"/>
        </w:rPr>
        <w:t xml:space="preserve">atata, cenoura, chuchu, mandioca, inhame, abobrinha, mandioquinha salsa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tabs>
          <w:tab w:val="left" w:pos="144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Proteínas: </w:t>
      </w:r>
      <w:r w:rsidDel="00000000" w:rsidR="00000000" w:rsidRPr="00000000">
        <w:rPr>
          <w:color w:val="000000"/>
          <w:vertAlign w:val="baseline"/>
          <w:rtl w:val="0"/>
        </w:rPr>
        <w:t xml:space="preserve">carne, frango e peixe sem gordura; </w:t>
      </w:r>
    </w:p>
    <w:p w:rsidR="00000000" w:rsidDel="00000000" w:rsidP="00000000" w:rsidRDefault="00000000" w:rsidRPr="00000000" w14:paraId="0000001A">
      <w:pPr>
        <w:tabs>
          <w:tab w:val="left" w:pos="1440"/>
        </w:tabs>
        <w:ind w:left="36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EVITAR: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1440"/>
        </w:tabs>
        <w:spacing w:before="280" w:lineRule="auto"/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Leite e derivados;</w:t>
      </w:r>
    </w:p>
    <w:p w:rsidR="00000000" w:rsidDel="00000000" w:rsidP="00000000" w:rsidRDefault="00000000" w:rsidRPr="00000000" w14:paraId="0000001F">
      <w:pPr>
        <w:tabs>
          <w:tab w:val="left" w:pos="1440"/>
        </w:tabs>
        <w:ind w:left="72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Fibras insolúveis, presente nas cascas e bagaços, cereais integrais (linhaça, chia, gergelim, farinha de trigo integral, arroz integral), pois estas aceleram ainda mais o trânsito intestinal. </w:t>
      </w:r>
    </w:p>
    <w:p w:rsidR="00000000" w:rsidDel="00000000" w:rsidP="00000000" w:rsidRDefault="00000000" w:rsidRPr="00000000" w14:paraId="00000021">
      <w:pPr>
        <w:tabs>
          <w:tab w:val="left" w:pos="1440"/>
        </w:tabs>
        <w:ind w:left="36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Doces, frutas laxativas (laranja, mamão, ameixa, </w:t>
      </w:r>
      <w:r w:rsidDel="00000000" w:rsidR="00000000" w:rsidRPr="00000000">
        <w:rPr>
          <w:rtl w:val="0"/>
        </w:rPr>
        <w:t xml:space="preserve">abacate</w:t>
      </w:r>
      <w:r w:rsidDel="00000000" w:rsidR="00000000" w:rsidRPr="00000000">
        <w:rPr>
          <w:color w:val="000000"/>
          <w:vertAlign w:val="baseline"/>
          <w:rtl w:val="0"/>
        </w:rPr>
        <w:t xml:space="preserve">...), vegetais folhosos (alface, rúcula, repolho...), pasta de amendoim, feijão, ervilhas, lentilha e outras sementes. A formação de gases também é indesejada nestes casos.</w:t>
      </w:r>
    </w:p>
    <w:p w:rsidR="00000000" w:rsidDel="00000000" w:rsidP="00000000" w:rsidRDefault="00000000" w:rsidRPr="00000000" w14:paraId="00000023">
      <w:pPr>
        <w:tabs>
          <w:tab w:val="left" w:pos="1440"/>
        </w:tabs>
        <w:ind w:left="36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Cafeína em excesso (café, coca-cola, </w:t>
      </w:r>
      <w:r w:rsidDel="00000000" w:rsidR="00000000" w:rsidRPr="00000000">
        <w:rPr>
          <w:rtl w:val="0"/>
        </w:rPr>
        <w:t xml:space="preserve">chá</w:t>
      </w:r>
      <w:r w:rsidDel="00000000" w:rsidR="00000000" w:rsidRPr="00000000">
        <w:rPr>
          <w:color w:val="000000"/>
          <w:vertAlign w:val="baseline"/>
          <w:rtl w:val="0"/>
        </w:rPr>
        <w:t xml:space="preserve"> mate, chocolate);</w:t>
      </w:r>
    </w:p>
    <w:p w:rsidR="00000000" w:rsidDel="00000000" w:rsidP="00000000" w:rsidRDefault="00000000" w:rsidRPr="00000000" w14:paraId="00000025">
      <w:pPr>
        <w:tabs>
          <w:tab w:val="left" w:pos="1440"/>
        </w:tabs>
        <w:ind w:left="36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Açúcar, pois esse alimento fermenta no intestino e pode atrapalhar a recuperação;</w:t>
      </w:r>
    </w:p>
    <w:p w:rsidR="00000000" w:rsidDel="00000000" w:rsidP="00000000" w:rsidRDefault="00000000" w:rsidRPr="00000000" w14:paraId="00000027">
      <w:pPr>
        <w:tabs>
          <w:tab w:val="left" w:pos="144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1440"/>
        </w:tabs>
        <w:ind w:left="720" w:hanging="36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Alimentos gordurosos (frituras, margarina, óleos…);</w:t>
      </w:r>
    </w:p>
    <w:p w:rsidR="00000000" w:rsidDel="00000000" w:rsidP="00000000" w:rsidRDefault="00000000" w:rsidRPr="00000000" w14:paraId="00000029">
      <w:pPr>
        <w:tabs>
          <w:tab w:val="left" w:pos="144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1440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Alimentos condimentados: pimenta do reino, caldo knorr, sazón, molhos de pimenta, </w:t>
      </w:r>
    </w:p>
    <w:p w:rsidR="00000000" w:rsidDel="00000000" w:rsidP="00000000" w:rsidRDefault="00000000" w:rsidRPr="00000000" w14:paraId="0000002B">
      <w:pPr>
        <w:tabs>
          <w:tab w:val="left" w:pos="144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44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440"/>
        </w:tabs>
        <w:jc w:val="center"/>
        <w:rPr/>
      </w:pPr>
      <w:r w:rsidDel="00000000" w:rsidR="00000000" w:rsidRPr="00000000">
        <w:rPr>
          <w:b w:val="1"/>
          <w:rtl w:val="0"/>
        </w:rPr>
        <w:t xml:space="preserve">Receita de Soro Caseiro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44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440"/>
        </w:tabs>
        <w:jc w:val="center"/>
        <w:rPr>
          <w:b w:val="0"/>
          <w:color w:val="000000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505075" cy="1724025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440"/>
        </w:tabs>
        <w:spacing w:after="280" w:lineRule="auto"/>
        <w:jc w:val="center"/>
        <w:rPr>
          <w:b w:val="1"/>
          <w:color w:val="000000"/>
          <w:vertAlign w:val="baseline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isture tudo e beba aos poucos.</w:t>
      </w:r>
    </w:p>
    <w:sectPr>
      <w:pgSz w:h="11906" w:w="16838" w:orient="landscape"/>
      <w:pgMar w:bottom="567" w:top="567" w:left="567" w:right="567" w:header="720" w:footer="720"/>
      <w:pgNumType w:start="1"/>
      <w:cols w:equalWidth="0" w:num="2">
        <w:col w:space="720" w:w="7491.999999999999"/>
        <w:col w:space="0" w:w="749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color w:val="00000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noticia_texto">
    <w:name w:val="noticia_texto"/>
    <w:basedOn w:val="Fonteparág.padrão1"/>
    <w:next w:val="noticia_text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2">
    <w:name w:val="Legenda2"/>
    <w:basedOn w:val="Normal"/>
    <w:next w:val="Legenda2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Capítulo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ahoma" w:eastAsia="Lucida Sans Unicode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xtconteudo">
    <w:name w:val="txtconteudo"/>
    <w:basedOn w:val="Normal"/>
    <w:next w:val="txtconteudo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Verdana" w:hAnsi="Verdana"/>
      <w:color w:val="000000"/>
      <w:w w:val="100"/>
      <w:position w:val="-1"/>
      <w:sz w:val="15"/>
      <w:szCs w:val="15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zw2bI141vhIf2WNsI9NiUbZLFg==">AMUW2mWGXxtpiL36VyYg7lNhR2UZR7dvO6miNY+ui3f1GNiTIgoYVU/v45ktXguc3YMFzW/o8ibWwJD3jL5mVT0HpklX4aGJJHlso3MIOhcakRLbPaXJOJk=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2021-04-20T11:53:00Z</dcterms:created>
  <dc:creator>Audiobass</dc:creator>
</cp:coreProperties>
</file>