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-247014</wp:posOffset>
            </wp:positionH>
            <wp:positionV relativeFrom="paragraph">
              <wp:posOffset>0</wp:posOffset>
            </wp:positionV>
            <wp:extent cx="552203" cy="590550"/>
            <wp:effectExtent b="0" l="0" r="0" t="0"/>
            <wp:wrapNone/>
            <wp:docPr id="10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03" cy="59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vertAlign w:val="baseline"/>
          <w:rtl w:val="0"/>
        </w:rPr>
        <w:t xml:space="preserve">DISLIPIDEMIA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dislipidemia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é caracterizada pela presença de níveis elevados de lipídios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gorduras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) no sangue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podem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causar a obstrução parcial ou total do fluxo sanguíneo.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Colesterol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triglicérides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estão incluídos nessas gorduras, que são importantes para que o corpo funcione.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No entanto, quando em excesso, colocam as pessoas em alto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risco de infarto e derrame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vertAlign w:val="baseline"/>
          <w:rtl w:val="0"/>
        </w:rPr>
        <w:t xml:space="preserve">PODE SER DIVIDIDA EM 3 SUBTIPOS: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right="-341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Hipercolesterolemia isolada (colesterol LDL- “colesterol ruim” elevado);</w:t>
      </w:r>
    </w:p>
    <w:p w:rsidR="00000000" w:rsidDel="00000000" w:rsidP="00000000" w:rsidRDefault="00000000" w:rsidRPr="00000000" w14:paraId="0000000D">
      <w:pPr>
        <w:spacing w:after="0" w:lineRule="auto"/>
        <w:ind w:right="-341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Hipertrigliceridemia isolada (triglicerídeo elevado);</w:t>
      </w:r>
    </w:p>
    <w:p w:rsidR="00000000" w:rsidDel="00000000" w:rsidP="00000000" w:rsidRDefault="00000000" w:rsidRPr="00000000" w14:paraId="0000000E">
      <w:pPr>
        <w:spacing w:after="0" w:lineRule="auto"/>
        <w:ind w:right="-341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Dislipidemia mista (colesterol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triglicérides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elevados).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vertAlign w:val="baseline"/>
          <w:rtl w:val="0"/>
        </w:rPr>
        <w:t xml:space="preserve">FATORES DE RISCO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6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Os principais fatores de risco incluem maior idade, sexo feminino, colesterol HDL (colesterol bom) baixo, pressão arterial elevada, tabagismo, doenças endócrinas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vertAlign w:val="baseline"/>
          <w:rtl w:val="0"/>
        </w:rPr>
        <w:t xml:space="preserve">hipertireoidismo, hipotireoidismo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, diabetes) histórico familiar de doenças cardiovasculares, obesidade, resistência à insulina, estresse 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none"/>
          <w:vertAlign w:val="baseline"/>
          <w:rtl w:val="0"/>
        </w:rPr>
        <w:t xml:space="preserve">vida sedentária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shd w:fill="ffffff" w:val="clear"/>
        <w:spacing w:after="60" w:line="240" w:lineRule="auto"/>
        <w:jc w:val="center"/>
        <w:rPr>
          <w:rFonts w:ascii="Times New Roman" w:cs="Times New Roman" w:eastAsia="Times New Roman" w:hAnsi="Times New Roman"/>
          <w:i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63500</wp:posOffset>
                </wp:positionV>
                <wp:extent cx="3168015" cy="590550"/>
                <wp:effectExtent b="0" l="0" r="0" t="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66755" y="3489488"/>
                          <a:ext cx="315849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Dislipidemia é um dos principais fatores de risco para doenças cardiovasculares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63500</wp:posOffset>
                </wp:positionV>
                <wp:extent cx="3168015" cy="590550"/>
                <wp:effectExtent b="0" l="0" r="0" t="0"/>
                <wp:wrapNone/>
                <wp:docPr id="102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01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Alguns cuidados na alimentação devem ser tomados de acordo com o tipo de dislipidemia. Confira a seguir: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-76199</wp:posOffset>
                </wp:positionV>
                <wp:extent cx="6469380" cy="805180"/>
                <wp:effectExtent b="0" l="0" r="0" t="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6073" y="3382173"/>
                          <a:ext cx="6459855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Alguns cuidados na alimentação devem ser tomados de acordo com o tipo de dislipidemia. Confira a seguir: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1.999988555908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-76199</wp:posOffset>
                </wp:positionV>
                <wp:extent cx="6469380" cy="805180"/>
                <wp:effectExtent b="0" l="0" r="0" t="0"/>
                <wp:wrapNone/>
                <wp:docPr id="10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9380" cy="805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0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COLESTEROL ELEVADO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13" w:line="24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Preferir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Leite/iogurte/coalhada desnatados, queijos brancos, ricota, cottage, minas frescal;</w:t>
      </w:r>
    </w:p>
    <w:p w:rsidR="00000000" w:rsidDel="00000000" w:rsidP="00000000" w:rsidRDefault="00000000" w:rsidRPr="00000000" w14:paraId="00000018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Carne bovina magra (coxão-duro e patinho), peito de frango, sardinha, atum, salmão.</w:t>
      </w:r>
    </w:p>
    <w:p w:rsidR="00000000" w:rsidDel="00000000" w:rsidP="00000000" w:rsidRDefault="00000000" w:rsidRPr="00000000" w14:paraId="00000019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Folhosos à vontade: couve, alface, agrião, espinafre.</w:t>
      </w:r>
    </w:p>
    <w:p w:rsidR="00000000" w:rsidDel="00000000" w:rsidP="00000000" w:rsidRDefault="00000000" w:rsidRPr="00000000" w14:paraId="0000001A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2 colheres de sopa de farelo de aveia por dia.</w:t>
      </w:r>
    </w:p>
    <w:p w:rsidR="00000000" w:rsidDel="00000000" w:rsidP="00000000" w:rsidRDefault="00000000" w:rsidRPr="00000000" w14:paraId="0000001B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Cereais integrais: pão, biscoito, macarrão e arroz integrais.</w:t>
      </w:r>
    </w:p>
    <w:p w:rsidR="00000000" w:rsidDel="00000000" w:rsidP="00000000" w:rsidRDefault="00000000" w:rsidRPr="00000000" w14:paraId="0000001C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Leguminosas diariamente: feijão, grão-de-bico, soja, lentilha, ervilha.</w:t>
      </w:r>
    </w:p>
    <w:p w:rsidR="00000000" w:rsidDel="00000000" w:rsidP="00000000" w:rsidRDefault="00000000" w:rsidRPr="00000000" w14:paraId="0000001D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Óleo de girassol, azeite de oliva extra-virgem e óleo de coco em pequenas quantidades.</w:t>
      </w:r>
    </w:p>
    <w:p w:rsidR="00000000" w:rsidDel="00000000" w:rsidP="00000000" w:rsidRDefault="00000000" w:rsidRPr="00000000" w14:paraId="0000001E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Abacate, amêndoa, castanha de caju, castanha do Pará, nozes.</w:t>
      </w:r>
    </w:p>
    <w:p w:rsidR="00000000" w:rsidDel="00000000" w:rsidP="00000000" w:rsidRDefault="00000000" w:rsidRPr="00000000" w14:paraId="0000001F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Soja (leite, grãos, tofu, proteína vegetal texturizada).</w:t>
      </w:r>
    </w:p>
    <w:p w:rsidR="00000000" w:rsidDel="00000000" w:rsidP="00000000" w:rsidRDefault="00000000" w:rsidRPr="00000000" w14:paraId="00000020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Espinafre,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abóbora, batata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assada com casca, banana, figo.</w:t>
      </w:r>
    </w:p>
    <w:p w:rsidR="00000000" w:rsidDel="00000000" w:rsidP="00000000" w:rsidRDefault="00000000" w:rsidRPr="00000000" w14:paraId="00000021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Laranja, kiwi, limão, alho, couve-flor, brócolis, cenoura.</w:t>
      </w:r>
    </w:p>
    <w:p w:rsidR="00000000" w:rsidDel="00000000" w:rsidP="00000000" w:rsidRDefault="00000000" w:rsidRPr="00000000" w14:paraId="00000022">
      <w:pPr>
        <w:spacing w:after="113" w:line="24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13" w:line="24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Evitar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Margarina comum, manteiga, creme de leite, leite/iogurte/coalhada integrais, queijos cremosos e amarelos (prato, parmesão, mussarela), nata de leite, gordura hidrogenada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vertAlign w:val="baseline"/>
          <w:rtl w:val="0"/>
        </w:rPr>
        <w:t xml:space="preserve">trans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), banha animal, gema de ovo, maionese.</w:t>
      </w:r>
    </w:p>
    <w:p w:rsidR="00000000" w:rsidDel="00000000" w:rsidP="00000000" w:rsidRDefault="00000000" w:rsidRPr="00000000" w14:paraId="00000025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Carnes gordurosas (bacon, toucinho, linguiças, salame, paio, presunto, mortadela);</w:t>
      </w:r>
    </w:p>
    <w:p w:rsidR="00000000" w:rsidDel="00000000" w:rsidP="00000000" w:rsidRDefault="00000000" w:rsidRPr="00000000" w14:paraId="00000026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 Pele de aves, gordura visível da carne, vísceras: rim, moela, fígado, coração.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rtl w:val="0"/>
        </w:rPr>
        <w:t xml:space="preserve">∙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Frituras em geral;</w:t>
      </w:r>
    </w:p>
    <w:p w:rsidR="00000000" w:rsidDel="00000000" w:rsidP="00000000" w:rsidRDefault="00000000" w:rsidRPr="00000000" w14:paraId="00000028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Produtos industrializados congelados (empanados, hambúrgueres).</w:t>
      </w:r>
    </w:p>
    <w:p w:rsidR="00000000" w:rsidDel="00000000" w:rsidP="00000000" w:rsidRDefault="00000000" w:rsidRPr="00000000" w14:paraId="00000029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Pães doces com cremes, biscoitos recheados, amanteigados, wafers.</w:t>
      </w:r>
    </w:p>
    <w:p w:rsidR="00000000" w:rsidDel="00000000" w:rsidP="00000000" w:rsidRDefault="00000000" w:rsidRPr="00000000" w14:paraId="0000002A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Massas com molhos cremosos: à base de molho branco ou queijos.</w:t>
      </w:r>
    </w:p>
    <w:p w:rsidR="00000000" w:rsidDel="00000000" w:rsidP="00000000" w:rsidRDefault="00000000" w:rsidRPr="00000000" w14:paraId="0000002B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Sorvetes de massa;</w:t>
      </w:r>
    </w:p>
    <w:p w:rsidR="00000000" w:rsidDel="00000000" w:rsidP="00000000" w:rsidRDefault="00000000" w:rsidRPr="00000000" w14:paraId="0000002C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Doces concentrados como goiabada, doce de leite, bananada, chocolates, tortas, bolos com creme.</w:t>
      </w:r>
    </w:p>
    <w:p w:rsidR="00000000" w:rsidDel="00000000" w:rsidP="00000000" w:rsidRDefault="00000000" w:rsidRPr="00000000" w14:paraId="0000002D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Bebidas achocolatadas.</w:t>
      </w:r>
    </w:p>
    <w:p w:rsidR="00000000" w:rsidDel="00000000" w:rsidP="00000000" w:rsidRDefault="00000000" w:rsidRPr="00000000" w14:paraId="0000002E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Refrigerantes e bebidas alcoólicas.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ind w:right="-200"/>
        <w:jc w:val="center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RIGLICERÍDEO ELEVADO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13" w:line="240" w:lineRule="auto"/>
        <w:ind w:right="-200"/>
        <w:jc w:val="both"/>
        <w:rPr>
          <w:rFonts w:ascii="Times New Roman" w:cs="Times New Roman" w:eastAsia="Times New Roman" w:hAnsi="Times New Roman"/>
          <w:b w:val="0"/>
          <w:color w:val="70ad47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13" w:line="240" w:lineRule="auto"/>
        <w:ind w:right="-20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No caso de Triglicerídeo elevado seguir as orientações do Colesterol elevado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MAIS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as seguintes: </w:t>
      </w:r>
    </w:p>
    <w:p w:rsidR="00000000" w:rsidDel="00000000" w:rsidP="00000000" w:rsidRDefault="00000000" w:rsidRPr="00000000" w14:paraId="00000032">
      <w:pPr>
        <w:spacing w:after="113" w:line="240" w:lineRule="auto"/>
        <w:ind w:right="-200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Preferir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13" w:line="240" w:lineRule="auto"/>
        <w:ind w:right="-20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Folhosos verde-escuros: espinafre, couve, agrião, salsa.</w:t>
      </w:r>
    </w:p>
    <w:p w:rsidR="00000000" w:rsidDel="00000000" w:rsidP="00000000" w:rsidRDefault="00000000" w:rsidRPr="00000000" w14:paraId="00000034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Leguminosas: feijão, grão-de-bico, soja, lentilha, ervilha;</w:t>
      </w:r>
    </w:p>
    <w:p w:rsidR="00000000" w:rsidDel="00000000" w:rsidP="00000000" w:rsidRDefault="00000000" w:rsidRPr="00000000" w14:paraId="00000035">
      <w:pPr>
        <w:spacing w:after="113" w:line="240" w:lineRule="auto"/>
        <w:ind w:right="-20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Fracionar as refeições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 cinco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a seis vezes/dia.</w:t>
      </w:r>
    </w:p>
    <w:p w:rsidR="00000000" w:rsidDel="00000000" w:rsidP="00000000" w:rsidRDefault="00000000" w:rsidRPr="00000000" w14:paraId="00000036">
      <w:pPr>
        <w:spacing w:after="113" w:line="240" w:lineRule="auto"/>
        <w:ind w:right="-200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Evitar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13" w:line="240" w:lineRule="auto"/>
        <w:ind w:right="-20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O consumo de alimentos ricos em carboidratos simples:</w:t>
      </w:r>
    </w:p>
    <w:p w:rsidR="00000000" w:rsidDel="00000000" w:rsidP="00000000" w:rsidRDefault="00000000" w:rsidRPr="00000000" w14:paraId="00000038">
      <w:pPr>
        <w:spacing w:after="113" w:line="240" w:lineRule="auto"/>
        <w:ind w:right="-20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Alimentos à base de farinha de trigo refinada (pães, bolos e biscoitos industrializados).</w:t>
      </w:r>
    </w:p>
    <w:p w:rsidR="00000000" w:rsidDel="00000000" w:rsidP="00000000" w:rsidRDefault="00000000" w:rsidRPr="00000000" w14:paraId="00000039">
      <w:pPr>
        <w:spacing w:after="113" w:line="240" w:lineRule="auto"/>
        <w:ind w:right="-20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Mais do que uma unidade de pão francês ou 2 fatias de pão de forma integral por refeição.</w:t>
      </w:r>
    </w:p>
    <w:p w:rsidR="00000000" w:rsidDel="00000000" w:rsidP="00000000" w:rsidRDefault="00000000" w:rsidRPr="00000000" w14:paraId="0000003A">
      <w:pPr>
        <w:spacing w:after="113" w:line="240" w:lineRule="auto"/>
        <w:ind w:right="-20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Doces (balas, açúcar branco, açúcar mascavo, geleia, gelatina, doces em pasta, frutas em calda, bolos recheados, tortas, melado, mel, chocolates, frutas secas).</w:t>
      </w:r>
    </w:p>
    <w:p w:rsidR="00000000" w:rsidDel="00000000" w:rsidP="00000000" w:rsidRDefault="00000000" w:rsidRPr="00000000" w14:paraId="0000003B">
      <w:pPr>
        <w:spacing w:after="113" w:line="240" w:lineRule="auto"/>
        <w:ind w:right="-200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Bebidas alcoólicas (cerveja, vinho, uísque, champanhe, licor) e refrigerantes.</w:t>
      </w:r>
    </w:p>
    <w:p w:rsidR="00000000" w:rsidDel="00000000" w:rsidP="00000000" w:rsidRDefault="00000000" w:rsidRPr="00000000" w14:paraId="0000003C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Preparações gordurosas: frituras, massas com molhos cremosos, estrogonofe, empadões, tortas salgadas, pizzas.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exercício físico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causa a redução dos valores de LDL (colesterol ruim) em alguns indivíduos, além disso é essencial para controlar o peso corporal e o Índice de Massa Corporal (IMC).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Procure um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profissional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de Educação Física para orientar o melhor exercício para você.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i w:val="0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Caso apresente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COLESTEROL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TRIGLICERÍDEO ELEVADOS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vertAlign w:val="baseline"/>
          <w:rtl w:val="0"/>
        </w:rPr>
        <w:t xml:space="preserve">Deve-se seguir todas as orientações.</w:t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04950" cy="685800"/>
            <wp:effectExtent b="0" l="0" r="0" t="0"/>
            <wp:docPr id="10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Suco de berinjela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½  berinjela com casca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laranja ou 1 limão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copo de água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colher de sopa de linhaça dourada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837"/>
          <w:sz w:val="26"/>
          <w:szCs w:val="26"/>
          <w:rtl w:val="0"/>
        </w:rPr>
        <w:t xml:space="preserve">Para fazer a água da berinjela, fatie o fruto em rodelas e deixe de molho no copo d’água durante a noite. Isso irá fazer com que as fibras sejam liberadas do alimento, enriquecendo o líquido com todas as suas propriedades.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837"/>
          <w:sz w:val="26"/>
          <w:szCs w:val="26"/>
          <w:rtl w:val="0"/>
        </w:rPr>
        <w:t xml:space="preserve">Pela manhã, bata no liquidificador a berinjela junto com a água e o suco da laranja ou do limão. Beba em seguida.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2837"/>
          <w:sz w:val="26"/>
          <w:szCs w:val="26"/>
          <w:rtl w:val="0"/>
        </w:rPr>
        <w:t xml:space="preserve">Dica:</w:t>
      </w:r>
      <w:r w:rsidDel="00000000" w:rsidR="00000000" w:rsidRPr="00000000">
        <w:rPr>
          <w:rFonts w:ascii="Times New Roman" w:cs="Times New Roman" w:eastAsia="Times New Roman" w:hAnsi="Times New Roman"/>
          <w:color w:val="272837"/>
          <w:sz w:val="26"/>
          <w:szCs w:val="26"/>
          <w:rtl w:val="0"/>
        </w:rPr>
        <w:t xml:space="preserve"> para potencializar os benefícios, acrescente ao suco uma colher de sopa de semente de linhaça dourada triturada.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7283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2837"/>
          <w:sz w:val="26"/>
          <w:szCs w:val="26"/>
          <w:rtl w:val="0"/>
        </w:rPr>
        <w:t xml:space="preserve">Pão de frigideira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837"/>
          <w:sz w:val="26"/>
          <w:szCs w:val="26"/>
          <w:rtl w:val="0"/>
        </w:rPr>
        <w:t xml:space="preserve">1 ovo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837"/>
          <w:sz w:val="26"/>
          <w:szCs w:val="26"/>
          <w:rtl w:val="0"/>
        </w:rPr>
        <w:t xml:space="preserve">2 colheres de sopa de farelo de aveia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837"/>
          <w:sz w:val="26"/>
          <w:szCs w:val="26"/>
          <w:rtl w:val="0"/>
        </w:rPr>
        <w:t xml:space="preserve">1 fio de azeite de oliva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837"/>
          <w:sz w:val="26"/>
          <w:szCs w:val="26"/>
          <w:rtl w:val="0"/>
        </w:rPr>
        <w:t xml:space="preserve">1 pitada de sal e de orégano (opcional)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837"/>
          <w:sz w:val="26"/>
          <w:szCs w:val="26"/>
          <w:rtl w:val="0"/>
        </w:rPr>
        <w:t xml:space="preserve">Misture o ovo, a aveia e os temperos em um recipiente, coloque numa frigideira antiaderente untada com o azeite, tampe e deixe por aproximadamente 2 minutos e vire, deixando por mais um minuto. 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color w:val="27283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028950" cy="1816100"/>
            <wp:effectExtent b="0" l="0" r="0" t="0"/>
            <wp:docPr id="10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426" w:top="567" w:left="567" w:right="567" w:header="720" w:footer="720"/>
      <w:pgNumType w:start="1"/>
      <w:cols w:equalWidth="0" w:num="3">
        <w:col w:space="708" w:w="4762.666666666666"/>
        <w:col w:space="708" w:w="4762.666666666666"/>
        <w:col w:space="0" w:w="4762.6666666666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ítulo10">
    <w:name w:val="Título 1"/>
    <w:basedOn w:val="Título1"/>
    <w:next w:val="Corpodetexto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Título1"/>
    <w:next w:val="Corpodetexto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1"/>
    </w:pPr>
    <w:rPr>
      <w:rFonts w:ascii="Arial" w:cs="Mangal" w:eastAsia="Microsoft YaHei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Título1"/>
    <w:next w:val="Corpodetexto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2"/>
    </w:pPr>
    <w:rPr>
      <w:rFonts w:ascii="Arial" w:cs="Mangal" w:eastAsia="Microsoft YaHei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Vkh+uHDJNcf7fE1UYoJiyL5uw==">AMUW2mXSphTP505FkK8Pq+3LQaQrqartbNm/K1/d6dH/DvdL9cwYhUDvBFpruvCdrXi6DMlgnM58uEPFLUhNlfb1T8nQGCGm1NmlcvmN/FzU/ujlmhrZOdHrDV87g5DtZDMkKqV/3l8q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2021-04-20T12:25:00Z</dcterms:created>
  <dc:creator>Priscila Pedrazzani</dc:creator>
</cp:coreProperties>
</file>