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0" w:firstLine="0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PREFEITURA MUNICIPAL DE MARINGÁ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636</wp:posOffset>
            </wp:positionH>
            <wp:positionV relativeFrom="paragraph">
              <wp:posOffset>0</wp:posOffset>
            </wp:positionV>
            <wp:extent cx="454342" cy="471817"/>
            <wp:effectExtent b="0" l="0" r="0" t="0"/>
            <wp:wrapNone/>
            <wp:docPr id="10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" cy="4718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SECRETARIA MUNICIPAL DE SAÚDE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DOENÇA RENAL CRÔNICA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71544</wp:posOffset>
            </wp:positionH>
            <wp:positionV relativeFrom="paragraph">
              <wp:posOffset>180975</wp:posOffset>
            </wp:positionV>
            <wp:extent cx="2948400" cy="1628911"/>
            <wp:effectExtent b="0" l="0" r="0" t="0"/>
            <wp:wrapSquare wrapText="bothSides" distB="0" distT="0" distL="114300" distR="114300"/>
            <wp:docPr id="102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8400" cy="16289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ind w:firstLine="72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doença renal crônica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é caracterizada pela lesão renal e perda progressiva e irreversível da função dos rins.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ind w:firstLine="72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Os rins filtram as toxinas e o excesso de fluídos do sangue. Se os rins falharem, as toxinas se acumulam.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intomas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ind w:firstLine="72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e desenvolvem lentamente e não são específicos da doença. Algumas pessoas não apresentam qualquer sintoma e são diagnosticadas por exames laboratoriais.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ind w:firstLine="72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No corpo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: distúrbios do equilíbrio hidroeletrolítico, fadiga, mal-estar, prurido, perda de apetite ou pressão alta;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ind w:firstLine="72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Também é comum: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baixo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peso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, edema pulmonar, inchaço, poliúria (excesso de urina), soluço;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firstLine="72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Consulte um médico para receber orientações.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Fatores de risco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ind w:firstLine="72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Elevado: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Hipertensão arterial, Diabetes Mellitus,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oenças cardiovasculares, Idosos e História familiar de DRC.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ind w:firstLine="72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Médio: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Portadores de glomerulopatias,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ransplantados renais com rejeição crônica,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ndivíduos expostos a drogas nefrotóxicas,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ortadores de litíase renal ou de uropatia obstrutiva,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ndivíduos com infecção sistêmica e neoplasias.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Times New Roman" w:cs="Times New Roman" w:eastAsia="Times New Roman" w:hAnsi="Times New Roman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Fatores que contribuem para a redução da Ingestão Alimentar: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ind w:firstLine="72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Redução da percepção do paladar; inflamação crônica, restrição alimentar excessiva, grande número de medicamentos, aspectos emocionais e psicológicos, piora da qualidade de vida, sedentarismo, uremia.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firstLine="72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Na hemodiálise: diálise insuficiente ou inadequada. Na diálise peritoneal: sensação de plenitude gástrica e saciedade.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Tratamento da Doença Renal Crônica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Compreende 2 fases distintas: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76" w:lineRule="auto"/>
        <w:ind w:left="283.4645669291342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ase não dialítica ou Tratamento Conservador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76" w:lineRule="auto"/>
        <w:ind w:left="283.4645669291342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ase de terapia renal substitutiva: Hemodiálise (HD)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Diálise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Peritoneal (DP).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12.0" w:type="dxa"/>
        <w:jc w:val="center"/>
        <w:tblLayout w:type="fixed"/>
        <w:tblLook w:val="0000"/>
      </w:tblPr>
      <w:tblGrid>
        <w:gridCol w:w="4912"/>
        <w:tblGridChange w:id="0">
          <w:tblGrid>
            <w:gridCol w:w="49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TRATAMENTO CONSERVADOR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retardar o ritmo de progressão da disfunção renal, prevenir as complicações, tratar as comorbidades e preparar o paciente para a terapia renal substitutiva.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Alimentos com elevado teor de Energia e reduzida quantidade de Proteínas</w:t>
      </w:r>
    </w:p>
    <w:tbl>
      <w:tblPr>
        <w:tblStyle w:val="Table2"/>
        <w:tblW w:w="4912.0" w:type="dxa"/>
        <w:jc w:val="left"/>
        <w:tblInd w:w="-5.0" w:type="dxa"/>
        <w:tblLayout w:type="fixed"/>
        <w:tblLook w:val="0000"/>
      </w:tblPr>
      <w:tblGrid>
        <w:gridCol w:w="2235"/>
        <w:gridCol w:w="2677"/>
        <w:tblGridChange w:id="0">
          <w:tblGrid>
            <w:gridCol w:w="2235"/>
            <w:gridCol w:w="267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Mandioca cozida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 pedaços médios (130g)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Farinha de Mandioca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 colheres de sopa (40g)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Mandioquinha cozida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unidade média (114g)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Óleos vegetais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colher de sopa (8g)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Margarina/Manteiga</w:t>
            </w:r>
            <w:r w:rsidDel="00000000" w:rsidR="00000000" w:rsidRPr="00000000">
              <w:rPr>
                <w:vertAlign w:val="super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colher de chá (5g)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Creme de leite</w:t>
            </w:r>
            <w:r w:rsidDel="00000000" w:rsidR="00000000" w:rsidRPr="00000000">
              <w:rPr>
                <w:vertAlign w:val="super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colher de sopa (20g)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Maionese</w:t>
            </w:r>
            <w:r w:rsidDel="00000000" w:rsidR="00000000" w:rsidRPr="00000000">
              <w:rPr>
                <w:vertAlign w:val="super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colher de sopa (15g)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Açúcar</w:t>
            </w:r>
            <w:r w:rsidDel="00000000" w:rsidR="00000000" w:rsidRPr="00000000">
              <w:rPr>
                <w:vertAlign w:val="super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colher sobremesa (10g)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Mel</w:t>
            </w:r>
            <w:r w:rsidDel="00000000" w:rsidR="00000000" w:rsidRPr="00000000">
              <w:rPr>
                <w:vertAlign w:val="super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colher sobremesa (14g)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Goiabada</w:t>
            </w:r>
            <w:r w:rsidDel="00000000" w:rsidR="00000000" w:rsidRPr="00000000">
              <w:rPr>
                <w:vertAlign w:val="super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fatia média (30g)</w:t>
            </w:r>
          </w:p>
        </w:tc>
      </w:tr>
    </w:tbl>
    <w:p w:rsidR="00000000" w:rsidDel="00000000" w:rsidP="00000000" w:rsidRDefault="00000000" w:rsidRPr="00000000" w14:paraId="0000003A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Esses alimentos devem ser evitados por pacientes com dislipidemia.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Esses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alimentos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devem ser evitados por pacientes diabéticos ou com hipertrigliceridemia.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Fonte: Unicamp, 2011.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alimentação deve ser baixa em proteínas, sendo a metade da sua necessidade proteica de Alto Valor Biológico. </w:t>
      </w:r>
    </w:p>
    <w:p w:rsidR="00000000" w:rsidDel="00000000" w:rsidP="00000000" w:rsidRDefault="00000000" w:rsidRPr="00000000" w14:paraId="00000040">
      <w:pPr>
        <w:spacing w:after="113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988.0" w:type="dxa"/>
        <w:jc w:val="left"/>
        <w:tblInd w:w="-5.0" w:type="dxa"/>
        <w:tblLayout w:type="fixed"/>
        <w:tblLook w:val="0000"/>
      </w:tblPr>
      <w:tblGrid>
        <w:gridCol w:w="1668"/>
        <w:gridCol w:w="1701"/>
        <w:gridCol w:w="1619"/>
        <w:tblGridChange w:id="0">
          <w:tblGrid>
            <w:gridCol w:w="1668"/>
            <w:gridCol w:w="1701"/>
            <w:gridCol w:w="16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Medida Caseira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Proteína</w:t>
            </w:r>
          </w:p>
        </w:tc>
      </w:tr>
      <w:tr>
        <w:trPr>
          <w:trHeight w:val="296.98242187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Proteína de Alto Valor Biológico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Leite de vaca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 copo (200ml)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Iogurte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 pote (200ml)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Queijo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 fatia (30g)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Ovo de galinha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 unidade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6,4g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Carne bovina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 bife (100g)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 filé (100g)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Peixe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 filé (100g)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19g</w:t>
            </w:r>
          </w:p>
        </w:tc>
      </w:tr>
      <w:tr>
        <w:trPr>
          <w:trHeight w:val="2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Proteína de Baixo Valor Biológico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Feijão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col. sopa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0,4g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Ervilha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col. sopa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6,7g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Lentilha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col. sopa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unid. (50G)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Macarrão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prato raso (125g)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col. sopa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Batata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unid. 110g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Mandioca cozida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pedaços médios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1,2g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Mandioquinha cozida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unid. média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1,5g</w:t>
            </w:r>
          </w:p>
        </w:tc>
      </w:tr>
    </w:tbl>
    <w:p w:rsidR="00000000" w:rsidDel="00000000" w:rsidP="00000000" w:rsidRDefault="00000000" w:rsidRPr="00000000" w14:paraId="0000007A">
      <w:pPr>
        <w:spacing w:after="200" w:line="276" w:lineRule="auto"/>
        <w:rPr>
          <w:rFonts w:ascii="Times New Roman" w:cs="Times New Roman" w:eastAsia="Times New Roman" w:hAnsi="Times New Roman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Evite o excesso de sódio/sal, o ideal é utilizar entre 1 e 2 gramas de sal ao dia (máximo de 3g). Fazer os alimentos do almoço e jantar sem sal, e acrescentar depois 1 grama em cada dessas refeições.</w:t>
      </w:r>
    </w:p>
    <w:p w:rsidR="00000000" w:rsidDel="00000000" w:rsidP="00000000" w:rsidRDefault="00000000" w:rsidRPr="00000000" w14:paraId="0000007C">
      <w:pPr>
        <w:spacing w:after="200" w:line="276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1g de sal é o mesmo que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Meio gomo de linguiça calabresa;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1 ½ unidades de salsicha;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4 fatias finas de mortadela;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5 fatias finas de queijo prato;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1 ½ unidades de sardinha em lata;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4 unidades de azeitonas;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1 unidade de pão francês;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1/4 de tablete de caldo concentrado;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1 colher de sopa de molho de soja;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912.0" w:type="dxa"/>
        <w:jc w:val="center"/>
        <w:tblLayout w:type="fixed"/>
        <w:tblLook w:val="0000"/>
      </w:tblPr>
      <w:tblGrid>
        <w:gridCol w:w="4912"/>
        <w:tblGridChange w:id="0">
          <w:tblGrid>
            <w:gridCol w:w="49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TERAPIA RENAL SUBSTITUTIVA - DIÁLISE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Empregadas para a substituição da função renal, quando não é possível ou até que seja possível a realização de transplante renal.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13" w:line="240" w:lineRule="auto"/>
        <w:jc w:val="both"/>
        <w:rPr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Evitar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13" w:line="240" w:lineRule="auto"/>
        <w:jc w:val="both"/>
        <w:rPr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Alimentos ricos em sódio como embutidos em geral (salsicha, salames, presunto, bacon, paio, linguiça, mortadela) ou carnes processadas.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13" w:line="240" w:lineRule="auto"/>
        <w:jc w:val="both"/>
        <w:rPr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Uso de saleiro à mesa e utilizar reduzidas quantidades no preparo dos alimentos.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13" w:line="240" w:lineRule="auto"/>
        <w:jc w:val="both"/>
        <w:rPr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Temperos comerciais, sopas desidratadas, caldos de carne ou galinha concentrados, catchup, extrato e molho de tomate, mostarda, maionese, margarina ou manteiga com sal, molho de soja.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13" w:line="240" w:lineRule="auto"/>
        <w:jc w:val="both"/>
        <w:rPr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Defumados (carnes, aves e peixes), peixes enlatados (sardinha, atum), bacalhau, carne seca.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13" w:line="240" w:lineRule="auto"/>
        <w:jc w:val="both"/>
        <w:rPr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Vegetais enlatados (palmito, ervilha, milho, picles, cogumelos, azeitonas).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13" w:line="240" w:lineRule="auto"/>
        <w:jc w:val="both"/>
        <w:rPr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Bolacha água e sal, salgadinhos industrializados (chips, amendoim), salgados (coxinha, quibe, pastel).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13" w:line="240" w:lineRule="auto"/>
        <w:jc w:val="both"/>
        <w:rPr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Evitar o consumo de chá preto, chá mate e refrigerantes à base de cola.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13" w:line="24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13" w:line="240" w:lineRule="auto"/>
        <w:jc w:val="both"/>
        <w:rPr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rtl w:val="0"/>
        </w:rPr>
        <w:t xml:space="preserve">∙ </w:t>
      </w:r>
      <w:r w:rsidDel="00000000" w:rsidR="00000000" w:rsidRPr="00000000">
        <w:rPr>
          <w:vertAlign w:val="baseline"/>
          <w:rtl w:val="0"/>
        </w:rPr>
        <w:t xml:space="preserve">Utilize esses alimentos para temperar suas refeições:</w:t>
      </w:r>
    </w:p>
    <w:tbl>
      <w:tblPr>
        <w:tblStyle w:val="Table5"/>
        <w:tblW w:w="4988.0" w:type="dxa"/>
        <w:jc w:val="left"/>
        <w:tblInd w:w="-5.0" w:type="dxa"/>
        <w:tblLayout w:type="fixed"/>
        <w:tblLook w:val="0000"/>
      </w:tblPr>
      <w:tblGrid>
        <w:gridCol w:w="1668"/>
        <w:gridCol w:w="1701"/>
        <w:gridCol w:w="1619"/>
        <w:tblGridChange w:id="0">
          <w:tblGrid>
            <w:gridCol w:w="1668"/>
            <w:gridCol w:w="1701"/>
            <w:gridCol w:w="16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Azeite de oliva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Noz moscada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Pimenta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Gengibre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Manjericão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Orégano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Cebolinha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Louro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Alho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Canela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Salsinha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Vinagre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Alecrim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Cebola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Suco de limão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Hortelã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spacing w:after="113" w:line="240" w:lineRule="auto"/>
        <w:jc w:val="both"/>
        <w:rPr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No caso de Hiperpotassemia ou Hipercalemia (excesso de potássio no sangue), o processo de cozimento em água das hortaliças e frutas promove perda significativa de potássio (aproximadamente 60%).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13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13" w:line="276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ALERTA: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vertAlign w:val="baseline"/>
          <w:rtl w:val="0"/>
        </w:rPr>
        <w:t xml:space="preserve">Proibido o consumo de Carambola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pois, essa fruta contém um composto neurotóxico normalmente depurado pelo rim. O acúmulo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neurotoxina, desencadeia uma série de sintomas: soluços persistentes, vômitos, confusão mental, agitação, diminuição da força muscular, insônia e convulsão. Dependendo da quantidade ingerida e do tempo até que o paciente receba atendimento, pode ocorrer óbito.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13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13" w:line="240" w:lineRule="auto"/>
        <w:jc w:val="both"/>
        <w:rPr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Preferir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Consumir de forma moderada os alimentos ricos em cálcio e fósforo, como derivados de leite, carnes, ovos, legumes e a casca dos cereais;</w:t>
      </w:r>
    </w:p>
    <w:p w:rsidR="00000000" w:rsidDel="00000000" w:rsidP="00000000" w:rsidRDefault="00000000" w:rsidRPr="00000000" w14:paraId="000000AE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Alimentos com média quantidade de fósforo:</w:t>
      </w:r>
      <w:r w:rsidDel="00000000" w:rsidR="00000000" w:rsidRPr="00000000">
        <w:rPr>
          <w:rtl w:val="0"/>
        </w:rPr>
      </w:r>
    </w:p>
    <w:tbl>
      <w:tblPr>
        <w:tblStyle w:val="Table6"/>
        <w:tblW w:w="5086.0" w:type="dxa"/>
        <w:jc w:val="left"/>
        <w:tblInd w:w="-5.0" w:type="dxa"/>
        <w:tblLayout w:type="fixed"/>
        <w:tblLook w:val="0000"/>
      </w:tblPr>
      <w:tblGrid>
        <w:gridCol w:w="2409"/>
        <w:gridCol w:w="2677"/>
        <w:tblGridChange w:id="0">
          <w:tblGrid>
            <w:gridCol w:w="2409"/>
            <w:gridCol w:w="267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Carne bovina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bife (palma da mão)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Carne suína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bife (palma da mão)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Ervilha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colheres de sopa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Feijão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colheres de sopa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colheres de sopa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Iogurte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shd w:fill="ffffff" w:val="clear"/>
              <w:spacing w:after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 copo de 200ml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copo de 200ml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unidades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Queijo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fatia média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colheres de sopa</w:t>
            </w:r>
          </w:p>
        </w:tc>
      </w:tr>
    </w:tbl>
    <w:p w:rsidR="00000000" w:rsidDel="00000000" w:rsidP="00000000" w:rsidRDefault="00000000" w:rsidRPr="00000000" w14:paraId="000000C4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Alimentos com alto teor de fósforo: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hd w:fill="ffffff" w:val="clear"/>
        <w:spacing w:after="0" w:before="280" w:line="276" w:lineRule="auto"/>
        <w:ind w:left="425.19685039370086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Alimentos industrializados pronto para o consumo;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hd w:fill="ffffff" w:val="clear"/>
        <w:spacing w:after="0" w:line="276" w:lineRule="auto"/>
        <w:ind w:left="425.19685039370086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Temperos prontos (caldo de carne e etc.);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hd w:fill="ffffff" w:val="clear"/>
        <w:spacing w:after="0" w:line="276" w:lineRule="auto"/>
        <w:ind w:left="425.19685039370086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Oleaginosas: Amendoim, nozes, avelã, castanha, amêndoa;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hd w:fill="ffffff" w:val="clear"/>
        <w:spacing w:after="0" w:line="276" w:lineRule="auto"/>
        <w:ind w:left="425.19685039370086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Atum, sardinha;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hd w:fill="ffffff" w:val="clear"/>
        <w:spacing w:after="0" w:line="276" w:lineRule="auto"/>
        <w:ind w:left="425.19685039370086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Cerveja, refrigerantes a base de cola;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hd w:fill="ffffff" w:val="clear"/>
        <w:spacing w:after="0" w:line="276" w:lineRule="auto"/>
        <w:ind w:left="425.19685039370086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Doce de amendoim;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hd w:fill="ffffff" w:val="clear"/>
        <w:spacing w:after="0" w:line="276" w:lineRule="auto"/>
        <w:ind w:left="425.19685039370086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Fígado, hambúrguer industrializado, linguiça, mortadela, presunto, salame, salsicha, nuggets, pizza.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afterAutospacing="0" w:line="276" w:lineRule="auto"/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Consumir proteínas de ovos,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peixes e soja.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Quando consumir, opte por um pedaço pequeno a médio de carne;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0" w:afterAutospacing="0" w:line="276" w:lineRule="auto"/>
        <w:ind w:left="425.19685039370086" w:hanging="360"/>
        <w:jc w:val="both"/>
        <w:rPr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Consumir 3 porções/dia do grupo de frutas com pequena ou média quantidade de potássio OU 1 porção/dia do grupo com elevada quantidade de potássio.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113" w:line="276" w:lineRule="auto"/>
        <w:ind w:left="425.19685039370086" w:hanging="360"/>
        <w:jc w:val="both"/>
        <w:rPr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Consumir 2 porções/dia do grupo de hortaliças com menor teor de potássio OU 1 porção/dia com maior teor de potássio.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13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13" w:line="24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Consumir alimentos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baixo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médio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teor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potássio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(&lt; 5 mEq/porção):</w:t>
      </w:r>
      <w:r w:rsidDel="00000000" w:rsidR="00000000" w:rsidRPr="00000000">
        <w:rPr>
          <w:rtl w:val="0"/>
        </w:rPr>
      </w:r>
    </w:p>
    <w:tbl>
      <w:tblPr>
        <w:tblStyle w:val="Table7"/>
        <w:tblW w:w="5086.0" w:type="dxa"/>
        <w:jc w:val="left"/>
        <w:tblInd w:w="-5.0" w:type="dxa"/>
        <w:tblLayout w:type="fixed"/>
        <w:tblLook w:val="0000"/>
      </w:tblPr>
      <w:tblGrid>
        <w:gridCol w:w="2409"/>
        <w:gridCol w:w="2677"/>
        <w:tblGridChange w:id="0">
          <w:tblGrid>
            <w:gridCol w:w="2409"/>
            <w:gridCol w:w="267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Frutas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Hortaliças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banana-maçã média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 folhas de alface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caqui médio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 pires (chá) de agrião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 pires (chá) jabuticaba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½ pepino pequeno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fatia média de abacaxi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pires (chá) de repolho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laranja lima pequena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 rabanetes médios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 morangos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pimentão médio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maçã média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tomate pequeno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 acerolas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½ cenoura média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½ manga média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pires (chá) escarola crua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pera média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Berinjela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pêssego médio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Chuchu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ameixa fresca média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colheres de sopa quiabo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½ copo de suco limão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colheres de sopa vagem</w:t>
            </w:r>
          </w:p>
        </w:tc>
      </w:tr>
    </w:tbl>
    <w:p w:rsidR="00000000" w:rsidDel="00000000" w:rsidP="00000000" w:rsidRDefault="00000000" w:rsidRPr="00000000" w14:paraId="000000EE">
      <w:pPr>
        <w:spacing w:after="113" w:line="24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Consumir de maneira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moderada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alimentos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ricos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potássio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como:</w:t>
      </w:r>
      <w:r w:rsidDel="00000000" w:rsidR="00000000" w:rsidRPr="00000000">
        <w:rPr>
          <w:rtl w:val="0"/>
        </w:rPr>
      </w:r>
    </w:p>
    <w:tbl>
      <w:tblPr>
        <w:tblStyle w:val="Table8"/>
        <w:tblW w:w="5086.0" w:type="dxa"/>
        <w:jc w:val="left"/>
        <w:tblInd w:w="-5.0" w:type="dxa"/>
        <w:tblLayout w:type="fixed"/>
        <w:tblLook w:val="0000"/>
      </w:tblPr>
      <w:tblGrid>
        <w:gridCol w:w="2409"/>
        <w:gridCol w:w="2677"/>
        <w:tblGridChange w:id="0">
          <w:tblGrid>
            <w:gridCol w:w="2409"/>
            <w:gridCol w:w="267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Frutas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Hortaliças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banana-nanica média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pires (chá) de acelga crua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fatia média de melão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 pires (chá) de couve crua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laranja-pera média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 col. sopa beterraba crua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kiwi médio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concha pequena feijão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½ abacate médio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concha pequena lentilha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mexerica/tangerina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pires (chá) erva doce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½ copo de água de coco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pires (chá) funcho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fatia média de mamão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Demais hortaliças devem ser cozidas sem casca em água, e esta deve ser desprezada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cacho pequeno de uva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spacing w:after="113" w:line="240" w:lineRule="auto"/>
        <w:jc w:val="both"/>
        <w:rPr>
          <w:rFonts w:ascii="Noto Sans Symbols" w:cs="Noto Sans Symbols" w:eastAsia="Noto Sans Symbols" w:hAnsi="Noto Sans Symbol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13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13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13" w:line="276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Também são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em potássio: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spacing w:after="0" w:afterAutospacing="0" w:line="276" w:lineRule="auto"/>
        <w:ind w:left="283.4645669291342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aldo de feijão, de soja, de grão-de-bico e de lentilha; semente de gergelim;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spacing w:after="0" w:afterAutospacing="0" w:line="276" w:lineRule="auto"/>
        <w:ind w:left="283.4645669291342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Canjica, milho de pipoca;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spacing w:after="0" w:afterAutospacing="0" w:line="276" w:lineRule="auto"/>
        <w:ind w:left="283.4645669291342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mendoim, nozes, castanhas, avelãs, amêndoas, pinhão; 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after="0" w:afterAutospacing="0" w:line="276" w:lineRule="auto"/>
        <w:ind w:left="283.4645669291342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omate seco, molho, extrato e massa de tomate; mostarda,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etchup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after="0" w:afterAutospacing="0" w:line="276" w:lineRule="auto"/>
        <w:ind w:left="283.4645669291342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hocolate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achocolatados, café solúvel;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gua de coco;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himarrão; 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pacing w:after="0" w:afterAutospacing="0" w:line="276" w:lineRule="auto"/>
        <w:ind w:left="283.4645669291342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rutas secas (ameixa, uva passa, damasco, etc.)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spacing w:after="0" w:afterAutospacing="0" w:line="276" w:lineRule="auto"/>
        <w:ind w:left="283.4645669291342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çúcar mascavo, caldas das compotas de frutas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doce de leite;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pacing w:after="0" w:afterAutospacing="0" w:line="276" w:lineRule="auto"/>
        <w:ind w:left="283.4645669291342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inhos;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uco de frutas concentrado; refrigerantes à base de laranja, 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spacing w:after="113" w:line="276" w:lineRule="auto"/>
        <w:ind w:left="283.4645669291342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Bacalhau, vísceras, camarão, presunto, salame, sardinha, canjica, milho de pipoca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3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0" w:line="276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Sal diet ou sal light -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Esses tipos de sal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são ricos em potássio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e seu uso é contraindicado em caso de hiperpotassemia.</w:t>
      </w:r>
    </w:p>
    <w:p w:rsidR="00000000" w:rsidDel="00000000" w:rsidP="00000000" w:rsidRDefault="00000000" w:rsidRPr="00000000" w14:paraId="00000115">
      <w:pPr>
        <w:spacing w:after="0" w:line="240" w:lineRule="auto"/>
        <w:ind w:left="0" w:firstLine="0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Fonte: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- Jornal Brasileiro de Nefrologia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80"/>
            <w:sz w:val="20"/>
            <w:szCs w:val="20"/>
            <w:u w:val="single"/>
            <w:vertAlign w:val="baseline"/>
            <w:rtl w:val="0"/>
          </w:rPr>
          <w:t xml:space="preserve">http://www.jbn.org.br/details/1183/pt-BR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- Fundação Cristiano Varella Hospital do Câncer de Muriaé.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jc w:val="both"/>
        <w:rPr>
          <w:b w:val="1"/>
          <w:color w:val="00000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- Guia de nutrição: clínica do adulto/coordenação deste guia Lilian Cuppari – 3ª ed. Barueri, SP: Manole,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00" w:line="276" w:lineRule="auto"/>
        <w:rPr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0" w:line="276" w:lineRule="auto"/>
        <w:rPr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567" w:top="567" w:left="567" w:right="567" w:header="720" w:footer="720"/>
      <w:pgNumType w:start="1"/>
      <w:cols w:equalWidth="0" w:num="3">
        <w:col w:space="708" w:w="4762.666666666666"/>
        <w:col w:space="708" w:w="4762.666666666666"/>
        <w:col w:space="0" w:w="4762.66666666666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/>
    </w:lvl>
    <w:lvl w:ilvl="1">
      <w:start w:val="1"/>
      <w:numFmt w:val="bullet"/>
      <w:lvlText w:val="•"/>
      <w:lvlJc w:val="left"/>
      <w:pPr>
        <w:ind w:left="1440" w:hanging="360"/>
      </w:pPr>
      <w:rPr/>
    </w:lvl>
    <w:lvl w:ilvl="2">
      <w:start w:val="1"/>
      <w:numFmt w:val="bullet"/>
      <w:lvlText w:val="•"/>
      <w:lvlJc w:val="left"/>
      <w:pPr>
        <w:ind w:left="2160" w:hanging="360"/>
      </w:pPr>
      <w:rPr/>
    </w:lvl>
    <w:lvl w:ilvl="3">
      <w:start w:val="1"/>
      <w:numFmt w:val="bullet"/>
      <w:lvlText w:val="•"/>
      <w:lvlJc w:val="left"/>
      <w:pPr>
        <w:ind w:left="2880" w:hanging="360"/>
      </w:pPr>
      <w:rPr/>
    </w:lvl>
    <w:lvl w:ilvl="4">
      <w:start w:val="1"/>
      <w:numFmt w:val="bullet"/>
      <w:lvlText w:val="•"/>
      <w:lvlJc w:val="left"/>
      <w:pPr>
        <w:ind w:left="3600" w:hanging="360"/>
      </w:pPr>
      <w:rPr/>
    </w:lvl>
    <w:lvl w:ilvl="5">
      <w:start w:val="1"/>
      <w:numFmt w:val="bullet"/>
      <w:lvlText w:val="•"/>
      <w:lvlJc w:val="left"/>
      <w:pPr>
        <w:ind w:left="4320" w:hanging="360"/>
      </w:pPr>
      <w:rPr/>
    </w:lvl>
    <w:lvl w:ilvl="6">
      <w:start w:val="1"/>
      <w:numFmt w:val="bullet"/>
      <w:lvlText w:val="•"/>
      <w:lvlJc w:val="left"/>
      <w:pPr>
        <w:ind w:left="5040" w:hanging="360"/>
      </w:pPr>
      <w:rPr/>
    </w:lvl>
    <w:lvl w:ilvl="7">
      <w:start w:val="1"/>
      <w:numFmt w:val="bullet"/>
      <w:lvlText w:val="•"/>
      <w:lvlJc w:val="left"/>
      <w:pPr>
        <w:ind w:left="5760" w:hanging="360"/>
      </w:pPr>
      <w:rPr/>
    </w:lvl>
    <w:lvl w:ilvl="8">
      <w:start w:val="1"/>
      <w:numFmt w:val="bullet"/>
      <w:lvlText w:val="•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160" w:line="252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Título10">
    <w:name w:val="Título 1"/>
    <w:basedOn w:val="Título1"/>
    <w:next w:val="Corpodetexto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zh-CN" w:val="pt-BR"/>
    </w:rPr>
  </w:style>
  <w:style w:type="paragraph" w:styleId="Título21">
    <w:name w:val="Título 2"/>
    <w:basedOn w:val="Título1"/>
    <w:next w:val="Corpodetexto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1"/>
    </w:pPr>
    <w:rPr>
      <w:rFonts w:ascii="Arial" w:cs="Mangal" w:eastAsia="Microsoft YaHei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Título3">
    <w:name w:val="Título 3"/>
    <w:basedOn w:val="Título1"/>
    <w:next w:val="Corpodetexto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2"/>
    </w:pPr>
    <w:rPr>
      <w:rFonts w:ascii="Arial" w:cs="Mangal" w:eastAsia="Microsoft YaHei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2">
    <w:name w:val="Fonte parág. padrão2"/>
    <w:next w:val="Fonteparág.padrã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false">
    <w:name w:val="WW8Num1zfalse"/>
    <w:next w:val="WW8Num1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true">
    <w:name w:val="WW8Num1ztrue"/>
    <w:next w:val="WW8Num1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">
    <w:name w:val="WW-WW8Num1ztrue"/>
    <w:next w:val="WW-WW8Num1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1">
    <w:name w:val="WW-WW8Num1ztrue1"/>
    <w:next w:val="WW-WW8Num1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2">
    <w:name w:val="WW-WW8Num1ztrue2"/>
    <w:next w:val="WW-WW8Num1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3">
    <w:name w:val="WW-WW8Num1ztrue3"/>
    <w:next w:val="WW-WW8Num1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4">
    <w:name w:val="WW-WW8Num1ztrue4"/>
    <w:next w:val="WW-WW8Num1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5">
    <w:name w:val="WW-WW8Num1ztrue5"/>
    <w:next w:val="WW-WW8Num1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6">
    <w:name w:val="WW-WW8Num1ztrue6"/>
    <w:next w:val="WW-WW8Num1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7">
    <w:name w:val="WW-WW8Num1ztrue7"/>
    <w:next w:val="WW-WW8Num1ztrue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11">
    <w:name w:val="WW-WW8Num1ztrue11"/>
    <w:next w:val="WW-WW8Num1ztrue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21">
    <w:name w:val="WW-WW8Num1ztrue21"/>
    <w:next w:val="WW-WW8Num1ztrue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31">
    <w:name w:val="WW-WW8Num1ztrue31"/>
    <w:next w:val="WW-WW8Num1ztrue3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41">
    <w:name w:val="WW-WW8Num1ztrue41"/>
    <w:next w:val="WW-WW8Num1ztrue4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51">
    <w:name w:val="WW-WW8Num1ztrue51"/>
    <w:next w:val="WW-WW8Num1ztrue5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61">
    <w:name w:val="WW-WW8Num1ztrue61"/>
    <w:next w:val="WW-WW8Num1ztrue6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71">
    <w:name w:val="WW-WW8Num1ztrue71"/>
    <w:next w:val="WW-WW8Num1ztrue7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111">
    <w:name w:val="WW-WW8Num1ztrue111"/>
    <w:next w:val="WW-WW8Num1ztrue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211">
    <w:name w:val="WW-WW8Num1ztrue211"/>
    <w:next w:val="WW-WW8Num1ztrue2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311">
    <w:name w:val="WW-WW8Num1ztrue311"/>
    <w:next w:val="WW-WW8Num1ztrue3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411">
    <w:name w:val="WW-WW8Num1ztrue411"/>
    <w:next w:val="WW-WW8Num1ztrue4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511">
    <w:name w:val="WW-WW8Num1ztrue511"/>
    <w:next w:val="WW-WW8Num1ztrue5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611">
    <w:name w:val="WW-WW8Num1ztrue611"/>
    <w:next w:val="WW-WW8Num1ztrue6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711">
    <w:name w:val="WW-WW8Num1ztrue711"/>
    <w:next w:val="WW-WW8Num1ztrue7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1111">
    <w:name w:val="WW-WW8Num1ztrue1111"/>
    <w:next w:val="WW-WW8Num1ztrue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2111">
    <w:name w:val="WW-WW8Num1ztrue2111"/>
    <w:next w:val="WW-WW8Num1ztrue2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3111">
    <w:name w:val="WW-WW8Num1ztrue3111"/>
    <w:next w:val="WW-WW8Num1ztrue3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4111">
    <w:name w:val="WW-WW8Num1ztrue4111"/>
    <w:next w:val="WW-WW8Num1ztrue4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5111">
    <w:name w:val="WW-WW8Num1ztrue5111"/>
    <w:next w:val="WW-WW8Num1ztrue5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WW8Num1ztrue6111">
    <w:name w:val="WW-WW8Num1ztrue6111"/>
    <w:next w:val="WW-WW8Num1ztrue6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val="und"/>
    </w:rPr>
  </w:style>
  <w:style w:type="character" w:styleId="Marcas">
    <w:name w:val="Marcas"/>
    <w:next w:val="Marca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Símbolosdenumeração">
    <w:name w:val="Símbolos de numeração"/>
    <w:next w:val="Símbolosdenumeraç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Segoe UI" w:cs="Segoe UI" w:eastAsia="Calibri" w:hAnsi="Segoe UI"/>
      <w:w w:val="100"/>
      <w:position w:val="-1"/>
      <w:sz w:val="18"/>
      <w:szCs w:val="18"/>
      <w:effect w:val="none"/>
      <w:vertAlign w:val="baseline"/>
      <w:cs w:val="0"/>
      <w:em w:val="none"/>
      <w:lang w:eastAsia="zh-CN"/>
    </w:rPr>
  </w:style>
  <w:style w:type="paragraph" w:styleId="Título2">
    <w:name w:val="Título2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0"/>
    </w:pPr>
    <w:rPr>
      <w:rFonts w:ascii="Liberation Sans" w:cs="Arial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after="120" w:before="0" w:line="252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after="120" w:before="0" w:line="252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252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after="160" w:line="252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after="160" w:line="252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suppressLineNumbers w:val="1"/>
      <w:suppressAutoHyphens w:val="0"/>
      <w:spacing w:after="160" w:line="252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libri" w:cs="Calibri" w:eastAsia="Calibri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Calibr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jbn.org.br/details/1183/pt-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8PMeMmd46xfv+aYmMV1Z4Zv01g==">AMUW2mVAzjk4yxUNoktSxIAb5EQLrcnYUHFY0gYhSzSzt2ixQWQDEtMlnR7Y5VTqcVAv3eSlg7fjEAoO0ruR+L+A+YuXMSh/2qqOl/VVMDtfQOvcVn9BK7A=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2021-04-20T12:05:00Z</dcterms:created>
  <dc:creator>Priscila Pedrazzani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