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vertAlign w:val="baseline"/>
          <w:rtl w:val="0"/>
        </w:rPr>
        <w:t xml:space="preserve">PREFEITURA MUNICIPAL DE MARINGÁ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-132714</wp:posOffset>
            </wp:positionH>
            <wp:positionV relativeFrom="paragraph">
              <wp:posOffset>151116</wp:posOffset>
            </wp:positionV>
            <wp:extent cx="454342" cy="471817"/>
            <wp:effectExtent b="0" l="0" r="0" t="0"/>
            <wp:wrapNone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" cy="471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b w:val="1"/>
          <w:vertAlign w:val="baseline"/>
          <w:rtl w:val="0"/>
        </w:rPr>
        <w:t xml:space="preserve">SECRETARIA MUNICIPAL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HIPERURICEMIA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(GOTA)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hiperuricemia é a presença de níveis </w:t>
      </w:r>
    </w:p>
    <w:p w:rsidR="00000000" w:rsidDel="00000000" w:rsidP="00000000" w:rsidRDefault="00000000" w:rsidRPr="00000000" w14:paraId="0000000B">
      <w:pPr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altos de ácido úrico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no </w:t>
      </w:r>
      <w:r w:rsidDel="00000000" w:rsidR="00000000" w:rsidRPr="00000000">
        <w:rPr>
          <w:color w:val="000000"/>
          <w:sz w:val="24"/>
          <w:szCs w:val="24"/>
          <w:u w:val="none"/>
          <w:vertAlign w:val="baseline"/>
          <w:rtl w:val="0"/>
        </w:rPr>
        <w:t xml:space="preserve">sangue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jc w:val="center"/>
        <w:rPr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Fatores de risco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níveis altos de ácido úrico estão associados com: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Abuso do álcool;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Obesidade;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Hipertensão;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Doenças renais;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Doenças cardiovasculares;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Uso de medicamentos que inibem a excreção de ácido úrico;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Dieta com excesso de </w:t>
      </w:r>
      <w:r w:rsidDel="00000000" w:rsidR="00000000" w:rsidRPr="00000000">
        <w:rPr>
          <w:sz w:val="24"/>
          <w:szCs w:val="24"/>
          <w:rtl w:val="0"/>
        </w:rPr>
        <w:t xml:space="preserve">proteínas, carnes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frutos do mar.</w:t>
      </w:r>
    </w:p>
    <w:p w:rsidR="00000000" w:rsidDel="00000000" w:rsidP="00000000" w:rsidRDefault="00000000" w:rsidRPr="00000000" w14:paraId="00000017">
      <w:pPr>
        <w:spacing w:after="113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13" w:lineRule="auto"/>
        <w:jc w:val="center"/>
        <w:rPr>
          <w:b w:val="0"/>
          <w:color w:val="000000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28"/>
          <w:szCs w:val="28"/>
          <w:vertAlign w:val="baseline"/>
          <w:rtl w:val="0"/>
        </w:rPr>
        <w:t xml:space="preserve">Sintomas</w:t>
      </w:r>
      <w:r w:rsidDel="00000000" w:rsidR="00000000" w:rsidRPr="00000000">
        <w:rPr>
          <w:b w:val="1"/>
          <w:color w:val="000000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13" w:lineRule="auto"/>
        <w:ind w:left="0" w:firstLine="0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75% dos pacientes, são assintomáticos (sem sintomas). </w:t>
      </w:r>
    </w:p>
    <w:p w:rsidR="00000000" w:rsidDel="00000000" w:rsidP="00000000" w:rsidRDefault="00000000" w:rsidRPr="00000000" w14:paraId="0000001A">
      <w:pPr>
        <w:spacing w:after="113" w:lineRule="auto"/>
        <w:jc w:val="both"/>
        <w:rPr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Em 25%, podem ocorrer sintomas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Dores nas articulações, especialmente dos pés e pernas (gota);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Pele irritada, vermelha e dolorida nos pés ou pernas (eritema em membros inferiores);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Cálculos renais/nefrolitíase (pedras nos rins);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Infecções renais (nefrites) 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Sangue na urina (hematúria);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3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Náusea e vômito;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Formação de depósitos de ácido úrico nos tecidos (tofos).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</w:pBd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CUIDADOS COM A ALIMENTAÇÃO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8" w:lineRule="auto"/>
        <w:jc w:val="both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Preferir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68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Mastigar bem os alimentos, comendo devagar para facilitar a digestão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68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Realizar 6 refeições diárias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68" w:lineRule="auto"/>
        <w:ind w:left="720" w:right="-115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Leite, iogurte, coalhada desnatados, queijo branco e ricota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68" w:lineRule="auto"/>
        <w:ind w:left="720" w:right="-115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Aproximadamente 3 litros de líquidos por dia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68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Em caso de obesidade, reduzir o peso gradualmente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68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Usar com moderação o sal para temperar os alimentos</w:t>
      </w:r>
      <w:r w:rsidDel="00000000" w:rsidR="00000000" w:rsidRPr="00000000">
        <w:rPr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68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Cereais integrais, arroz, </w:t>
      </w:r>
      <w:r w:rsidDel="00000000" w:rsidR="00000000" w:rsidRPr="00000000">
        <w:rPr>
          <w:sz w:val="24"/>
          <w:szCs w:val="24"/>
          <w:rtl w:val="0"/>
        </w:rPr>
        <w:t xml:space="preserve">aveia e pipoca;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68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Laranja, banana, abacate, couve, limão, caju, tangerina, acerola, kiwi, tomate, salsa, cenoura, abóbora, abacaxi, semente de linhaça, folhosos verdes escuros.</w:t>
      </w:r>
    </w:p>
    <w:p w:rsidR="00000000" w:rsidDel="00000000" w:rsidP="00000000" w:rsidRDefault="00000000" w:rsidRPr="00000000" w14:paraId="0000002E">
      <w:pPr>
        <w:spacing w:after="68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8" w:lineRule="auto"/>
        <w:ind w:firstLine="141.7322834645671"/>
        <w:jc w:val="both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Evitar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68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Ingerir bebida alcoólica, principalmente cerveja.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68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nlatados</w:t>
      </w:r>
      <w:r w:rsidDel="00000000" w:rsidR="00000000" w:rsidRPr="00000000">
        <w:rPr>
          <w:sz w:val="24"/>
          <w:szCs w:val="24"/>
          <w:rtl w:val="0"/>
        </w:rPr>
        <w:t xml:space="preserve"> em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molho de tomate, acelga, agrião, batata-doce, berinjela, beterraba, cebolinha, espinafre, mostarda, nabo, quiabo, morango, uva, germe de trigo,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amendoim.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68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Caldo de carne, coração, bacon, extrato de carne, fermento de pão, fígado, coração, língua, molho prontos (Knorr, </w:t>
      </w:r>
      <w:r w:rsidDel="00000000" w:rsidR="00000000" w:rsidRPr="00000000">
        <w:rPr>
          <w:sz w:val="24"/>
          <w:szCs w:val="24"/>
          <w:rtl w:val="0"/>
        </w:rPr>
        <w:t xml:space="preserve">sazón,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maggi...), ovo, sardinhas, bacalhau.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68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Excesso de óleo no preparo das refeições.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68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Redução brusca de peso ou jejum prolongado.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68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Doces concentrados (doces de corte, tortas, balas, chocolates, bolos, pé-de-moleque, cocada) e pães doces.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68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Adoçante </w:t>
      </w:r>
      <w:r w:rsidDel="00000000" w:rsidR="00000000" w:rsidRPr="00000000">
        <w:rPr>
          <w:sz w:val="24"/>
          <w:szCs w:val="24"/>
          <w:rtl w:val="0"/>
        </w:rPr>
        <w:t xml:space="preserve">à base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 frutose.</w:t>
      </w:r>
    </w:p>
    <w:p w:rsidR="00000000" w:rsidDel="00000000" w:rsidP="00000000" w:rsidRDefault="00000000" w:rsidRPr="00000000" w14:paraId="00000037">
      <w:pPr>
        <w:spacing w:after="68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8" w:lineRule="auto"/>
        <w:ind w:left="284" w:firstLine="0"/>
        <w:jc w:val="both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976245" cy="1711325"/>
            <wp:effectExtent b="0" l="0" r="0" t="0"/>
            <wp:docPr id="10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71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426" w:top="567" w:left="567" w:right="567" w:header="720" w:footer="720"/>
      <w:pgNumType w:start="1"/>
      <w:cols w:equalWidth="0" w:num="3">
        <w:col w:space="794" w:w="4705.333333333333"/>
        <w:col w:space="794" w:w="4705.333333333333"/>
        <w:col w:space="0" w:w="4705.33333333333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🟃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🟃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🟃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🟃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🟃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🟃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🟃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🟃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🟃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🟃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🟃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🟃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48"/>
      <w:position w:val="-1"/>
      <w:sz w:val="22"/>
      <w:szCs w:val="4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Título1"/>
    <w:next w:val="Corpodetexto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cs="Mangal" w:eastAsia="Lucida Sans Unicode" w:hAnsi="Times New Roman"/>
      <w:b w:val="1"/>
      <w:bCs w:val="1"/>
      <w:w w:val="100"/>
      <w:kern w:val="48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rFonts w:ascii="Wingdings 2" w:cs="OpenSymbol" w:hAnsi="Wingdings 2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Wingdings 2" w:cs="OpenSymbol" w:hAnsi="Wingdings 2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Wingdings 2" w:cs="OpenSymbol" w:hAnsi="Wingdings 2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Wingdings 2" w:cs="OpenSymbol" w:hAnsi="Wingdings 2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OpenSymbol" w:cs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Marcas">
    <w:name w:val="Marcas"/>
    <w:next w:val="Marc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Lucida Sans Unicode" w:hAnsi="Arial"/>
      <w:w w:val="100"/>
      <w:kern w:val="48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48"/>
      <w:position w:val="-1"/>
      <w:sz w:val="22"/>
      <w:szCs w:val="48"/>
      <w:effect w:val="none"/>
      <w:vertAlign w:val="baseline"/>
      <w:cs w:val="0"/>
      <w:em w:val="none"/>
      <w:lang w:bidi="ar-SA" w:eastAsia="pt-BR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48"/>
      <w:position w:val="-1"/>
      <w:sz w:val="22"/>
      <w:szCs w:val="48"/>
      <w:effect w:val="none"/>
      <w:vertAlign w:val="baseline"/>
      <w:cs w:val="0"/>
      <w:em w:val="none"/>
      <w:lang w:bidi="ar-SA" w:eastAsia="pt-BR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kern w:val="48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48"/>
      <w:position w:val="-1"/>
      <w:sz w:val="22"/>
      <w:szCs w:val="48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6EDniprvd7knMrO/uf8HQSV6HA==">AMUW2mUBhdfEs0lUVVZt6uxS1TqXKx8bATRP1bkIe5T5xGp1Rb3FRbMsU7R/e1P6fLcdj6tBn5j0MJNEes/7Eajzm4aFNMdt91NbOf1dwoQ9PASwm0S1JAY=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2021-04-20T11:52:00Z</dcterms:created>
  <dc:creator>Kaiany Souza</dc:creator>
</cp:coreProperties>
</file>