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0" w:firstLine="0"/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PREFEITURA MUNICIPAL DE MARINGÁ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636</wp:posOffset>
            </wp:positionH>
            <wp:positionV relativeFrom="paragraph">
              <wp:posOffset>47625</wp:posOffset>
            </wp:positionV>
            <wp:extent cx="454342" cy="471817"/>
            <wp:effectExtent b="0" l="0" r="0" t="0"/>
            <wp:wrapNone/>
            <wp:docPr id="10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" cy="4718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SECRETARIA MUNICIPAL DE SAÚDE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156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NUTRIÇÃO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 SAÚDE MENTAL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firstLine="72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28575</wp:posOffset>
            </wp:positionV>
            <wp:extent cx="2930843" cy="2257425"/>
            <wp:effectExtent b="0" l="0" r="0" t="0"/>
            <wp:wrapTopAndBottom distB="0" distT="0"/>
            <wp:docPr id="102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0843" cy="2257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Uma das maiores contribuições da nutrição na saúde mental é a manutenção da estrutura, função dos neurônios e dos centros do cérebro que coordenam a comunicação dentro do corpo e entre o corpo e o ambiente. Alguns nutrientes são importantes para um bom funcionamento de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cérebro: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Ômega-3 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color w:val="000000"/>
          <w:sz w:val="26"/>
          <w:szCs w:val="26"/>
          <w:vertAlign w:val="baseline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-3)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Desde o nascimento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 maturidade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são os ácidos graxos poli-insaturados (gorduras)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mais importantes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no cérebro e no sistema nervoso. São três tipos: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Ácido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eicosapentaenoico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(EPA);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Ácido docosa-hexaenoico (DHA);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Ácido alfa-linolênico (ALA).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Fontes alimentares: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É importante lembrar que os humanos não podem produzir ácidos graxos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6"/>
          <w:szCs w:val="26"/>
          <w:vertAlign w:val="baseline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-3 pelo organismo; a quantidade fornecida depende da ingestão.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O EPA e o DHA se encontram naturalmente juntos nos alimentos como: peixes gordos e frutos do mar de água fria.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O ALA é um precursor do EPA e DHA, é encontrado no óleo de alguns grãos (p.ex., linhaça, chia, girassol) e algumas nozes. Infelizmente a taxa de conversão de ALA em EPA e DHA é baixa.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Algumas condições em que o EPA e o DHA apresentam benefícios: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Distúrbio de ansiedade;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Transtorno de déficit de atenção com hiperatividade;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Autismo;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Transtorno bipolar;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Noto Sans Symbols" w:cs="Noto Sans Symbols" w:eastAsia="Noto Sans Symbols" w:hAnsi="Noto Sans Symbols"/>
          <w:sz w:val="23"/>
          <w:szCs w:val="23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Depressão; Depressão pós-parto;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Dispraxia (disfunção motora neurológica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que impede o cérebro de desempenhar os movimentos corretamente);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Transtornos alimentares;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Esquizofrenia;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Ideação suicida;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Recomendação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da American Psychiary Association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para Ingestão de Ômega-3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000000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 Todos os adultos: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Consumir peixes em 2 ou mais vezes por semana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110g de sardinha contém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mg aproximadamente de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ômega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Indivíduos com distúrbios de humor, impulso-controle, ou psicótico: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Consumir 1g (1000mg) de EPA e DHA por dia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i w:val="1"/>
          <w:color w:val="000000"/>
          <w:sz w:val="23"/>
          <w:szCs w:val="23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Pacientes com distúrbios de humor: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Utilizar um suplemento que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fornece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1-9g de EPA e DHA. O uso de mais de 3g/dia deve ser monitorado por um médico.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Gestação e Lactação: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Especialistas recomendam que mulheres gestantes consumam no mínimo 200-300 mg de DHA durante a gestação para o desenvolvimento infantil adequado;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Em estudo,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gestante que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ingere mais de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340 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de peixe na semana (2 ou mais vezes por semana) durante a gestação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promove à criança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melhor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saúde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emocional e menta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Durante a Infância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O leite materno contém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6"/>
          <w:szCs w:val="26"/>
          <w:vertAlign w:val="baseline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-3 EPA e DHA e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6"/>
          <w:szCs w:val="26"/>
          <w:vertAlign w:val="baseline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-6 AA (Ácido araquidônico);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DHA tem papel identificado no desenvolvimento infantil (cérebro, olhos, sistema nervoso central)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Durante os anos de envelhecimento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Os ácidos graxos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6"/>
          <w:szCs w:val="26"/>
          <w:vertAlign w:val="baseline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-3 também são considerados importantes na manutenção cognitiva com a idade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Suplementos de Ômega-3 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color w:val="000000"/>
          <w:sz w:val="26"/>
          <w:szCs w:val="26"/>
          <w:vertAlign w:val="baseline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-3)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Estão disponíveis na fórmula de óleo de peixe e óleo de fígado de bacalhau;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Uma fonte de algas de DHA também está disponível para vege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tarianos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Os suplementos de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6"/>
          <w:szCs w:val="26"/>
          <w:vertAlign w:val="baseline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-3 são mais bem absorvidos quando consumidos com uma refeição ou lanche contendo gordura.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Os melhores suplementos de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6"/>
          <w:szCs w:val="26"/>
          <w:vertAlign w:val="baseline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-3 incluem um antioxidante, como a vitamina E, na fórmula, para estabilizar e preservar as gorduras poli-insaturadas de cadeia longa.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Vitamina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Afeta centenas de genes no corpo humano e é reconhecida como um importante nutriente para a saúde do cérebro, assim como para a saúde do osso e do esqueleto;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Uma vez que a vitamina D pode ser sintetizada pela luz solar, a adequada exposição ao sol ou a ingestão de vitamina D podem ajudar a manter a saúde mental;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A recomendação diária de Vitamina D é de 600 UI/dia, considerando a saúde óssea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center"/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Fontes alimentares: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Óleo de peixe;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Gema de ovo;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Alimentos fortificados com vitamina D: leite de vaca, leite de soja, ou cereais;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Vitaminas do Complexo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São conhecidas por apresentarem um efeito na saúde neurológica e cerebral, e a ingestão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diária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é importante para indivíduos com transtorno psiquiátrico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Fontes alimentares: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Ácido fólico (Vitamina B9): levedo de cerveja, cogumelos, espinafre, brócolis, couve-de-bruxelas, aspargos, couve e outras verduras, legumes, fígado e suco de laranja;</w:t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Vitamina B12: é encontrada apenas em fontes animais, tais como: carne de boi, fígado, mariscos, ostras, caranguejo, atum e linguado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endo assim, os veganos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devem escolher os alimentos e os suplementos sabiamente.</w:t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Noto Sans Symbols" w:cs="Noto Sans Symbols" w:eastAsia="Noto Sans Symbols" w:hAnsi="Noto Sans Symbol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Vitamina B6 (Piridoxina) é encontrada no fígado bovino, aveia, bananas, frango, batata, abacate, semente de girassol, levedo de cerveja, linguado, carne de porco e arroz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integral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Fitoquímicos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São alimentos à base de plantas ricos em químicos bioativos, realizam importantes contribuições para a função normal do cérebro e para a saúde mental.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Os mais promissores são os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flavonóides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(flavonóis, antocianinas e flavonas) que tem atividade antioxidante. As contribuições mais importantes são: proteger e preservar a estrutura celular do cérebro e o metabolismo através de uma complexa cascata de mecanismos celulares.</w:t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Fontes alimentares: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Maçã;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Bagas, particularmente vermelhas, azuis e roxas (p.ex. mirtilo, amora, gojiberry...);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Chocolate 70% ou mais de cacau;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Frutas Cítricas (p.ex. laranjas, toranjas e limões);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Uvas e suco de uva;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Chás, incluindo verde, preto, branco, 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vertAlign w:val="baseline"/>
          <w:rtl w:val="0"/>
        </w:rPr>
        <w:t xml:space="preserve">oolong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(chá chinês);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Fonte: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i w:val="0"/>
          <w:sz w:val="15"/>
          <w:szCs w:val="15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Krause, alimentos, nutrição e dietoterapia/ L. Kathleen Mahan, Sylvia Escott-Stump, Janice L. Raymond; [tradução Claudia Coana... et al.]. – Rio de Janeiro: Elsevier,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567" w:top="567" w:left="567" w:right="567" w:header="720" w:footer="720"/>
      <w:pgNumType w:start="1"/>
      <w:cols w:equalWidth="0" w:num="3">
        <w:col w:space="708" w:w="4762.666666666666"/>
        <w:col w:space="708" w:w="4762.666666666666"/>
        <w:col w:space="0" w:w="4762.66666666666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160" w:line="252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Título10">
    <w:name w:val="Título 1"/>
    <w:basedOn w:val="Título1"/>
    <w:next w:val="Corpodetexto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zh-CN" w:val="pt-BR"/>
    </w:rPr>
  </w:style>
  <w:style w:type="paragraph" w:styleId="Título21">
    <w:name w:val="Título 2"/>
    <w:basedOn w:val="Título1"/>
    <w:next w:val="Corpodetexto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1"/>
    </w:pPr>
    <w:rPr>
      <w:rFonts w:ascii="Arial" w:cs="Mangal" w:eastAsia="Microsoft YaHei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Título32">
    <w:name w:val="Título 3"/>
    <w:basedOn w:val="Título1"/>
    <w:next w:val="Corpodetexto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2"/>
    </w:pPr>
    <w:rPr>
      <w:rFonts w:ascii="Arial" w:cs="Mangal" w:eastAsia="Microsoft YaHei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3">
    <w:name w:val="Fonte parág. padrão3"/>
    <w:next w:val="Fonteparág.padrão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2">
    <w:name w:val="Fonte parág. padrão2"/>
    <w:next w:val="Fonteparág.padrão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val="und"/>
    </w:rPr>
  </w:style>
  <w:style w:type="character" w:styleId="Marcas">
    <w:name w:val="Marcas"/>
    <w:next w:val="Marca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Segoe UI" w:cs="Segoe UI" w:eastAsia="Calibri" w:hAnsi="Segoe UI"/>
      <w:w w:val="100"/>
      <w:position w:val="-1"/>
      <w:sz w:val="18"/>
      <w:szCs w:val="18"/>
      <w:effect w:val="none"/>
      <w:vertAlign w:val="baseline"/>
      <w:cs w:val="0"/>
      <w:em w:val="none"/>
      <w:lang w:eastAsia="zh-CN"/>
    </w:rPr>
  </w:style>
  <w:style w:type="paragraph" w:styleId="Título3">
    <w:name w:val="Título3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Lucida Sans Unicode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after="120" w:before="0" w:line="252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after="120" w:before="0" w:line="252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252" w:lineRule="auto"/>
      <w:ind w:leftChars="-1" w:rightChars="0" w:firstLineChars="-1"/>
      <w:textDirection w:val="btLr"/>
      <w:textAlignment w:val="top"/>
      <w:outlineLvl w:val="0"/>
    </w:pPr>
    <w:rPr>
      <w:rFonts w:ascii="Calibri" w:cs="Arial" w:eastAsia="Calibri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after="160" w:line="252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Título1">
    <w:name w:val="Título1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Título2">
    <w:name w:val="Título2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0"/>
    </w:pPr>
    <w:rPr>
      <w:rFonts w:ascii="Liberation Sans" w:cs="Arial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Legenda1">
    <w:name w:val="Legenda1"/>
    <w:basedOn w:val="Normal"/>
    <w:next w:val="Legenda1"/>
    <w:autoRedefine w:val="0"/>
    <w:hidden w:val="0"/>
    <w:qFormat w:val="0"/>
    <w:pPr>
      <w:suppressLineNumbers w:val="1"/>
      <w:suppressAutoHyphens w:val="0"/>
      <w:spacing w:after="120" w:before="120" w:line="252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eastAsia="Calibr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edDdaXIiH/bGK5WuCRtByr+EEg==">AMUW2mWS38atH61Ed3RaJZohTXfNUd8X78HFgX4Uix0fModF0xfXpgc/NAwimsrV1HGeg16IipU/Nmkg+kg1f22JU9FXgTcIgGfkV91+JYqRjj4MYqCspMI=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2021-04-20T12:06:00Z</dcterms:created>
  <dc:creator>Priscila Pedrazzani</dc:creator>
</cp:coreProperties>
</file>