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9b6041c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&lt;!-- qa-skip --&gt;（病棟別例示）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&lt;!-- qa-skip --&gt;（例示的数値）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&lt;!-- qa-skip --&gt;（近似式の仮定値）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&lt;!-- qa-skip --&gt;（近似式の仮定値）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稼働率 88.8% / 目標 90% / -1.2pt &lt;!-- qa-skip --&gt;</w:t>
      </w:r>
    </w:p>
    <w:p>
      <w:pPr>
        <w:pStyle w:val="ListBullet"/>
      </w:pPr>
      <w:r>
        <w:rPr>
          <w:rFonts w:ascii="Hiragino Kaku Gothic ProN" w:hAnsi="Hiragino Kaku Gothic ProN" w:eastAsia="Hiragino Kaku Gothic ProN" w:cs="Hiragino Kaku Gothic ProN"/>
          <w:b w:val="0"/>
          <w:i w:val="0"/>
          <w:sz w:val="22"/>
        </w:rPr>
        <w:t>平均在院日数 15.6 日 / 上限 21 日まで余裕 &lt;!-- qa-skip --&gt;</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&lt;!-- qa-skip --&gt;（従来型の問題イメージ）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&lt;!-- qa-skip --&gt;（制度上限の説明）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