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実演シナリオ（約20分）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88.5%</w:t>
      </w:r>
      <w:r>
        <w:rPr>
          <w:color w:val="2C3E50"/>
          <w:lang w:eastAsia="ja-JP"/>
        </w:rPr>
        <w:t>。目標の</w:t>
      </w:r>
      <w:r>
        <w:rPr>
          <w:b/>
          <w:color w:val="E74C3C"/>
          <w:lang w:eastAsia="ja-JP"/>
        </w:rPr>
        <w:t>90%</w:t>
      </w:r>
      <w:r>
        <w:rPr>
          <w:color w:val="2C3E50"/>
          <w:lang w:eastAsia="ja-JP"/>
        </w:rPr>
        <w:t>に対して</w:t>
      </w:r>
      <w:r>
        <w:rPr>
          <w:b/>
          <w:color w:val="E74C3C"/>
          <w:lang w:eastAsia="ja-JP"/>
        </w:rPr>
        <w:t>マイナス1.5ポイント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xml:space="preserve">🗨 先ほどの週末の谷、その解決策がここにあります。まず退院の曜日分布を見てください。金曜日に28%集中しています。だから土日に空床が増える。これがパターンの原因です。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88.5%を目標の94%まで引き上げたらどうなるか。稼働率1%の年間価値は約1,200万円ですから、5.5ポイント改善で年間約6,600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+6,600万円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+1.5ポイント</w:t>
      </w:r>
      <w:r>
        <w:rPr>
          <w:color w:val="2C3E50"/>
          <w:lang w:eastAsia="ja-JP"/>
        </w:rPr>
        <w:t>ずつ上げればいい。5Fは88.5%へ、6Fは93.5%へ。全体で約90%達成です。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+1.5pt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+1.5ポイントずつ——これが今月の「助け合いライン」です。テーブルの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ここで「本当に公平なのか？」という疑問が出るかもしれません。前半で低かった病棟と、頑張っていた病棟が同じ+1.5ポイント——前半の差を無視していないか、と。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2つ目。同じ+1.5ポイントでも、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