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21.7日」—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21.7日」の赤いdelta表示を見せる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21.7日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+0.7日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21.7日は超過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21.7日</w:t>
      </w:r>
      <w:r>
        <w:rPr>
          <w:rFonts w:ascii="游ゴシック" w:hAnsi="游ゴシック" w:eastAsia="游ゴシック"/>
          <w:b w:val="0"/>
          <w:color w:val="2C3E50"/>
          <w:sz w:val="22"/>
        </w:rPr>
        <w:t>、基準を</w:t>
      </w:r>
      <w:r>
        <w:rPr>
          <w:rFonts w:ascii="游ゴシック" w:hAnsi="游ゴシック" w:eastAsia="游ゴシック"/>
          <w:b/>
          <w:color w:val="E74C3C"/>
          <w:sz w:val="22"/>
        </w:rPr>
        <w:t>+0.7日超過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+1.7ポイント</w:t>
      </w:r>
      <w:r>
        <w:rPr>
          <w:rFonts w:ascii="游ゴシック" w:hAnsi="游ゴシック" w:eastAsia="游ゴシック"/>
          <w:b w:val="0"/>
          <w:color w:val="2C3E50"/>
          <w:sz w:val="22"/>
        </w:rPr>
        <w:t>ずつ上げればいい。5Fは88.7%へ、6Fは93.7%へ。全体で約90%達成です。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92.5%</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93.0%</w:t>
            </w:r>
          </w:p>
        </w:tc>
        <w:tc>
          <w:tcPr>
            <w:tcW w:type="dxa" w:w="1814"/>
          </w:tcPr>
          <w:p>
            <w:pPr>
              <w:jc w:val="center"/>
            </w:pPr>
            <w:r/>
            <w:r>
              <w:rPr>
                <w:rFonts w:ascii="游ゴシック" w:hAnsi="游ゴシック" w:eastAsia="游ゴシック"/>
                <w:b w:val="0"/>
                <w:color w:val="2C3E50"/>
                <w:sz w:val="20"/>
              </w:rPr>
              <w:t>89.5%</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+1.7pt</w:t>
            </w:r>
          </w:p>
        </w:tc>
        <w:tc>
          <w:tcPr>
            <w:tcW w:type="dxa" w:w="1814"/>
          </w:tcPr>
          <w:p>
            <w:pPr>
              <w:jc w:val="center"/>
            </w:pPr>
            <w:r/>
            <w:r>
              <w:rPr>
                <w:rFonts w:ascii="游ゴシック" w:hAnsi="游ゴシック" w:eastAsia="游ゴシック"/>
                <w:b/>
                <w:color w:val="1E8449"/>
                <w:sz w:val="20"/>
              </w:rPr>
              <w:t>88.7%</w:t>
            </w:r>
          </w:p>
        </w:tc>
        <w:tc>
          <w:tcPr>
            <w:tcW w:type="dxa" w:w="1814"/>
          </w:tcPr>
          <w:p>
            <w:pPr>
              <w:jc w:val="center"/>
            </w:pPr>
            <w:r/>
            <w:r>
              <w:rPr>
                <w:rFonts w:ascii="游ゴシック" w:hAnsi="游ゴシック" w:eastAsia="游ゴシック"/>
                <w:b/>
                <w:color w:val="1E8449"/>
                <w:sz w:val="20"/>
              </w:rPr>
              <w:t>93.7%</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94.0%</w:t>
            </w:r>
          </w:p>
        </w:tc>
        <w:tc>
          <w:tcPr>
            <w:tcW w:type="dxa" w:w="1814"/>
          </w:tcPr>
          <w:p>
            <w:pPr>
              <w:jc w:val="center"/>
            </w:pPr>
            <w:r/>
            <w:r>
              <w:rPr>
                <w:rFonts w:ascii="游ゴシック" w:hAnsi="游ゴシック" w:eastAsia="游ゴシック"/>
                <w:b w:val="0"/>
                <w:color w:val="2C3E50"/>
                <w:sz w:val="20"/>
              </w:rPr>
              <w:t>90.5%</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E74C3C"/>
                <w:sz w:val="20"/>
              </w:rPr>
              <w:t>+4.0pt</w:t>
            </w:r>
          </w:p>
        </w:tc>
        <w:tc>
          <w:tcPr>
            <w:tcW w:type="dxa" w:w="1814"/>
          </w:tcPr>
          <w:p>
            <w:pPr>
              <w:jc w:val="center"/>
            </w:pPr>
            <w:r/>
            <w:r>
              <w:rPr>
                <w:rFonts w:ascii="游ゴシック" w:hAnsi="游ゴシック" w:eastAsia="游ゴシック"/>
                <w:b w:val="0"/>
                <w:color w:val="E74C3C"/>
                <w:sz w:val="20"/>
              </w:rPr>
              <w:t>91.0%</w:t>
            </w:r>
          </w:p>
        </w:tc>
        <w:tc>
          <w:tcPr>
            <w:tcW w:type="dxa" w:w="1814"/>
          </w:tcPr>
          <w:p>
            <w:pPr>
              <w:jc w:val="center"/>
            </w:pPr>
            <w:r/>
            <w:r>
              <w:rPr>
                <w:rFonts w:ascii="游ゴシック" w:hAnsi="游ゴシック" w:eastAsia="游ゴシック"/>
                <w:b w:val="0"/>
                <w:color w:val="E74C3C"/>
                <w:sz w:val="20"/>
              </w:rPr>
              <w:t>96.0%</w:t>
            </w:r>
          </w:p>
        </w:tc>
        <w:tc>
          <w:tcPr>
            <w:tcW w:type="dxa" w:w="1814"/>
          </w:tcPr>
          <w:p>
            <w:pPr>
              <w:jc w:val="center"/>
            </w:pPr>
            <w:r/>
            <w:r>
              <w:rPr>
                <w:rFonts w:ascii="游ゴシック" w:hAnsi="游ゴシック" w:eastAsia="游ゴシック"/>
                <w:b w:val="0"/>
                <w:color w:val="E74C3C"/>
                <w:sz w:val="20"/>
              </w:rPr>
              <w:t>92.5%</w:t>
            </w:r>
          </w:p>
        </w:tc>
        <w:tc>
          <w:tcPr>
            <w:tcW w:type="dxa" w:w="1814"/>
          </w:tcPr>
          <w:p>
            <w:pPr>
              <w:jc w:val="center"/>
            </w:pPr>
            <w:r/>
            <w:r>
              <w:rPr>
                <w:rFonts w:ascii="游ゴシック" w:hAnsi="游ゴシック" w:eastAsia="游ゴシック"/>
                <w:b w:val="0"/>
                <w:color w:val="E74C3C"/>
                <w:sz w:val="20"/>
              </w:rPr>
              <w:t>⚠️（96%上限）</w:t>
            </w:r>
          </w:p>
        </w:tc>
      </w:tr>
    </w:tbl>
    <w:p>
      <w:pPr>
        <w:spacing w:after="0" w:before="0"/>
      </w:pPr>
      <w:r>
        <w:rPr>
          <w:sz w:val="12"/>
        </w:rPr>
      </w:r>
    </w:p>
    <w:p>
      <w:pPr>
        <w:spacing w:after="80" w:before="40"/>
        <w:ind w:left="283"/>
      </w:pPr>
      <w:r>
        <w:rPr>
          <w:rFonts w:ascii="游ゴシック" w:hAnsi="游ゴシック" w:eastAsia="游ゴシック"/>
          <w:b w:val="0"/>
          <w:color w:val="2C3E50"/>
          <w:sz w:val="22"/>
        </w:rPr>
        <w:t>💬 +1.7ポイントずつ——これが今月の「均等努力ライン」です。テーブルの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を超えてしまう。これは現実的に無理なシナリオです。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