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1ecb3c1</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&lt;!-- qa-skip --&gt;（病棟別例示）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&lt;!-- qa-skip --&gt;（例示的数値）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基準 15% の約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基準 15% の約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のどちらも救急搬送率が 50〜60% 台。基準の 15% に対して 3〜4 倍の余裕があります。これは </w:t>
      </w:r>
      <w:r>
        <w:rPr>
          <w:rFonts w:ascii="Hiragino Kaku Gothic ProN" w:hAnsi="Hiragino Kaku Gothic ProN" w:eastAsia="Hiragino Kaku Gothic ProN" w:cs="Hiragino Kaku Gothic ProN"/>
          <w:b/>
          <w:i/>
          <w:color w:val="555555"/>
          <w:sz w:val="22"/>
        </w:rPr>
        <w:t>短手 3（予定入院）を増やす余地</w:t>
      </w:r>
      <w:r>
        <w:rPr>
          <w:rFonts w:ascii="Hiragino Kaku Gothic ProN" w:hAnsi="Hiragino Kaku Gothic ProN" w:eastAsia="Hiragino Kaku Gothic ProN" w:cs="Hiragino Kaku Gothic ProN"/>
          <w:b w:val="0"/>
          <w:i/>
          <w:color w:val="555555"/>
          <w:sz w:val="22"/>
        </w:rPr>
        <w:t xml:space="preserve"> があることを意味します」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&lt;!-- qa-skip --&gt;（近似式の仮定値）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救急搬送後患者割合</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「デモの実データ由来では、5F 53.1% / 6F 61.1% で </w:t>
      </w:r>
      <w:r>
        <w:rPr>
          <w:rFonts w:ascii="Hiragino Kaku Gothic ProN" w:hAnsi="Hiragino Kaku Gothic ProN" w:eastAsia="Hiragino Kaku Gothic ProN" w:cs="Hiragino Kaku Gothic ProN"/>
          <w:b/>
          <w:i/>
          <w:color w:val="555555"/>
          <w:sz w:val="22"/>
        </w:rPr>
        <w:t>いずれも基準 15% を大幅達成</w:t>
      </w:r>
      <w:r>
        <w:rPr>
          <w:rFonts w:ascii="Hiragino Kaku Gothic ProN" w:hAnsi="Hiragino Kaku Gothic ProN" w:eastAsia="Hiragino Kaku Gothic ProN" w:cs="Hiragino Kaku Gothic ProN"/>
          <w:b w:val="0"/>
          <w:i/>
          <w:color w:val="555555"/>
          <w:sz w:val="22"/>
        </w:rPr>
        <w:t xml:space="preserve"> です。基準の 3.5〜4.1 倍の余裕があります」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のような谷）に左右されにくくなります。当院の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で安定達成しています」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&lt;!-- qa-skip --&gt;（近似式の仮定値）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稼働率 88.8% / 目標 90% / -1.2pt &lt;!-- qa-skip --&gt;</w:t>
      </w:r>
    </w:p>
    <w:p>
      <w:pPr>
        <w:pStyle w:val="ListBullet"/>
      </w:pPr>
      <w:r>
        <w:rPr>
          <w:rFonts w:ascii="Hiragino Kaku Gothic ProN" w:hAnsi="Hiragino Kaku Gothic ProN" w:eastAsia="Hiragino Kaku Gothic ProN" w:cs="Hiragino Kaku Gothic ProN"/>
          <w:b w:val="0"/>
          <w:i w:val="0"/>
          <w:sz w:val="22"/>
        </w:rPr>
        <w:t>平均在院日数 15.6 日 / 上限 21 日まで余裕 &lt;!-- qa-skip --&gt;</w:t>
      </w:r>
    </w:p>
    <w:p>
      <w:pPr>
        <w:pStyle w:val="ListBullet"/>
      </w:pPr>
      <w:r>
        <w:rPr>
          <w:rFonts w:ascii="Hiragino Kaku Gothic ProN" w:hAnsi="Hiragino Kaku Gothic ProN" w:eastAsia="Hiragino Kaku Gothic ProN" w:cs="Hiragino Kaku Gothic ProN"/>
          <w:b w:val="0"/>
          <w:i w:val="0"/>
          <w:sz w:val="22"/>
        </w:rPr>
        <w:t>救急搬送後 60.1% / 基準達成（余裕大）</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は余裕あり、救急率は基準の 4 倍達成。</w:t>
      </w:r>
      <w:r>
        <w:rPr>
          <w:rFonts w:ascii="Hiragino Kaku Gothic ProN" w:hAnsi="Hiragino Kaku Gothic ProN" w:eastAsia="Hiragino Kaku Gothic ProN" w:cs="Hiragino Kaku Gothic ProN"/>
          <w:b/>
          <w:i/>
          <w:color w:val="555555"/>
          <w:sz w:val="22"/>
        </w:rPr>
        <w:t>退院を無理に延ばさずに、新しい患者を受ける戦略で動ける状況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&lt;!-- qa-skip --&gt;（従来型の問題イメージ）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&lt;!-- qa-skip --&gt;（制度上限の説明）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