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c6260b5</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これを「連休前 + 連休中 + 連休明け」の 3 タグ分散型に切り替えることで、連休中稼働率 60% → 85% が見込めます。</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過去実績分析タブで月別・曜日・時間帯のパターンを毎週確認する運用。施設基準実態レポートで救急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（基準 15% の約 3.5〜4.1 倍）、85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 xml:space="preserve">5 大型連休すべてで稼働率 60% 台 — 実質的に半休業状態 </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 xml:space="preserve">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倍率</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約 3.5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約 4.1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3ヶ月（5F）</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3.6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3ヶ月（6F）</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4.0 倍</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w:t>
            </w:r>
          </w:p>
        </w:tc>
      </w:tr>
    </w:tbl>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で、基準 15% の約 3.6〜4.0 倍。単月の揺らぎに左右されず、安定達成でございます。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全項目で安全マージンを持って達成</w:t>
      </w:r>
      <w:r>
        <w:rPr>
          <w:rFonts w:ascii="Hiragino Kaku Gothic ProN" w:hAnsi="Hiragino Kaku Gothic ProN" w:eastAsia="Hiragino Kaku Gothic ProN" w:cs="Hiragino Kaku Gothic ProN"/>
          <w:b w:val="0"/>
          <w:i w:val="0"/>
          <w:sz w:val="22"/>
        </w:rPr>
        <w:t>しております。救急搬送後割合は基準 15% に対し 5F 53.1% / 6F 61.1%、約 3.5〜4.1 倍の余裕。85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制度基準上は救急搬送後割合が 3.5〜4.1 倍の余裕がございますので、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