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游ゴシック" w:cs="游ゴシック" w:eastAsia="游ゴシック" w:hAnsi="游ゴシック"/>
          <w:b/>
          <w:bCs/>
          <w:sz w:val="32"/>
          <w:szCs w:val="32"/>
        </w:rPr>
        <w:t xml:space="preserve">培養陰性尿路感染症の文献的考察</w:t>
      </w:r>
    </w:p>
    <w:p>
      <w:pPr>
        <w:pStyle w:val="Heading2"/>
        <w:spacing w:after="160" w:before="300"/>
      </w:pPr>
      <w:r>
        <w:rPr>
          <w:rFonts w:ascii="游ゴシック" w:cs="游ゴシック" w:eastAsia="游ゴシック" w:hAnsi="游ゴシック"/>
          <w:b/>
          <w:bCs/>
          <w:sz w:val="28"/>
          <w:szCs w:val="28"/>
        </w:rPr>
        <w:t xml:space="preserve">─ 免疫抑制下の膿尿・PCT陽性・培養陰性例をどう解釈するか ─</w:t>
      </w:r>
    </w:p>
    <w:p>
      <w:pPr>
        <w:spacing w:after="100" w:before="100"/>
      </w:pPr>
      <w:r>
        <w:rPr>
          <w:rFonts w:ascii="游明朝" w:cs="游明朝" w:eastAsia="游明朝" w:hAnsi="游明朝"/>
          <w:b/>
          <w:bCs/>
          <w:sz w:val="24"/>
          <w:szCs w:val="24"/>
        </w:rPr>
        <w:t xml:space="preserve">作成日</w:t>
      </w:r>
      <w:r>
        <w:rPr>
          <w:rFonts w:ascii="游明朝" w:cs="游明朝" w:eastAsia="游明朝" w:hAnsi="游明朝"/>
          <w:sz w:val="24"/>
          <w:szCs w:val="24"/>
        </w:rPr>
        <w:t xml:space="preserve">: 2026年3月20日 </w:t>
      </w:r>
      <w:r>
        <w:rPr>
          <w:rFonts w:ascii="游明朝" w:cs="游明朝" w:eastAsia="游明朝" w:hAnsi="游明朝"/>
          <w:b/>
          <w:bCs/>
          <w:sz w:val="24"/>
          <w:szCs w:val="24"/>
        </w:rPr>
        <w:t xml:space="preserve">おもろまちメディカルセンター 内科/呼吸器内科</w:t>
      </w:r>
    </w:p>
    <w:p>
      <w:pPr>
        <w:spacing w:after="300" w:before="300"/>
      </w:pPr>
    </w:p>
    <w:p>
      <w:pPr>
        <w:pStyle w:val="Heading2"/>
        <w:spacing w:after="160" w:before="300"/>
      </w:pPr>
      <w:r>
        <w:rPr>
          <w:rFonts w:ascii="游ゴシック" w:cs="游ゴシック" w:eastAsia="游ゴシック" w:hAnsi="游ゴシック"/>
          <w:b/>
          <w:bCs/>
          <w:sz w:val="28"/>
          <w:szCs w:val="28"/>
        </w:rPr>
        <w:t xml:space="preserve">1. 臨床疑問（PICO形式）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要素</w:t>
            </w:r>
          </w:p>
        </w:tc>
        <w:tc>
          <w:tcPr>
            <w:tcW w:type="dxa" w:w="4513"/>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内容</w:t>
            </w:r>
          </w:p>
        </w:tc>
      </w:tr>
      <w:tr>
        <w:tc>
          <w:tcPr>
            <w:tcW w:type="dxa" w:w="4513"/>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P</w:t>
            </w:r>
            <w:r>
              <w:rPr>
                <w:rFonts w:ascii="游明朝" w:cs="游明朝" w:eastAsia="游明朝" w:hAnsi="游明朝"/>
                <w:b w:val="false"/>
                <w:bCs w:val="false"/>
                <w:sz w:val="20"/>
                <w:szCs w:val="20"/>
              </w:rPr>
              <w:t xml:space="preserve"> (Patient)</w:t>
            </w:r>
          </w:p>
        </w:tc>
        <w:tc>
          <w:tcPr>
            <w:tcW w:type="dxa" w:w="4513"/>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免疫抑制剤使用中の多発性筋炎患者で、発熱・膿尿・PCT陽性を呈し、広域抗菌薬で改善した症例</w:t>
            </w:r>
          </w:p>
        </w:tc>
      </w:tr>
      <w:tr>
        <w:tc>
          <w:tcPr>
            <w:tcW w:type="dxa" w:w="4513"/>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I</w:t>
            </w:r>
            <w:r>
              <w:rPr>
                <w:rFonts w:ascii="游明朝" w:cs="游明朝" w:eastAsia="游明朝" w:hAnsi="游明朝"/>
                <w:b w:val="false"/>
                <w:bCs w:val="false"/>
                <w:sz w:val="20"/>
                <w:szCs w:val="20"/>
              </w:rPr>
              <w:t xml:space="preserve"> (Indicator)</w:t>
            </w:r>
          </w:p>
        </w:tc>
        <w:tc>
          <w:tcPr>
            <w:tcW w:type="dxa" w:w="4513"/>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血液培養陰性・尿培養陰性</w:t>
            </w:r>
          </w:p>
        </w:tc>
      </w:tr>
      <w:tr>
        <w:tc>
          <w:tcPr>
            <w:tcW w:type="dxa" w:w="4513"/>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C</w:t>
            </w:r>
            <w:r>
              <w:rPr>
                <w:rFonts w:ascii="游明朝" w:cs="游明朝" w:eastAsia="游明朝" w:hAnsi="游明朝"/>
                <w:b w:val="false"/>
                <w:bCs w:val="false"/>
                <w:sz w:val="20"/>
                <w:szCs w:val="20"/>
              </w:rPr>
              <w:t xml:space="preserve"> (Comparison)</w:t>
            </w:r>
          </w:p>
        </w:tc>
        <w:tc>
          <w:tcPr>
            <w:tcW w:type="dxa" w:w="4513"/>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培養陽性の典型的尿路感染症</w:t>
            </w:r>
          </w:p>
        </w:tc>
      </w:tr>
      <w:tr>
        <w:tc>
          <w:tcPr>
            <w:tcW w:type="dxa" w:w="4513"/>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O</w:t>
            </w:r>
            <w:r>
              <w:rPr>
                <w:rFonts w:ascii="游明朝" w:cs="游明朝" w:eastAsia="游明朝" w:hAnsi="游明朝"/>
                <w:b w:val="false"/>
                <w:bCs w:val="false"/>
                <w:sz w:val="20"/>
                <w:szCs w:val="20"/>
              </w:rPr>
              <w:t xml:space="preserve"> (Outcome)</w:t>
            </w:r>
          </w:p>
        </w:tc>
        <w:tc>
          <w:tcPr>
            <w:tcW w:type="dxa" w:w="4513"/>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培養陰性となるメカニズムの解明、臨床的にUTIと診断しうる根拠、今後の診断戦略</w:t>
            </w:r>
          </w:p>
        </w:tc>
      </w:tr>
    </w:tbl>
    <w:p>
      <w:pPr>
        <w:spacing w:after="100" w:before="100"/>
      </w:pPr>
    </w:p>
    <w:p>
      <w:pPr>
        <w:spacing w:after="100" w:before="100"/>
      </w:pPr>
      <w:r>
        <w:rPr>
          <w:rFonts w:ascii="游明朝" w:cs="游明朝" w:eastAsia="游明朝" w:hAnsi="游明朝"/>
          <w:b/>
          <w:bCs/>
          <w:sz w:val="24"/>
          <w:szCs w:val="24"/>
        </w:rPr>
        <w:t xml:space="preserve">臨床疑問</w:t>
      </w:r>
      <w:r>
        <w:rPr>
          <w:rFonts w:ascii="游明朝" w:cs="游明朝" w:eastAsia="游明朝" w:hAnsi="游明朝"/>
          <w:sz w:val="24"/>
          <w:szCs w:val="24"/>
        </w:rPr>
        <w:t xml:space="preserve">: 膿尿・PCT陽性で臨床的に尿路感染症が疑われるが、尿培養・血液培養ともに陰性の場合、どのように解釈し対応すべきか？</w:t>
      </w:r>
    </w:p>
    <w:p>
      <w:pPr>
        <w:spacing w:after="300" w:before="300"/>
      </w:pPr>
    </w:p>
    <w:p>
      <w:pPr>
        <w:pStyle w:val="Heading2"/>
        <w:spacing w:after="160" w:before="300"/>
      </w:pPr>
      <w:r>
        <w:rPr>
          <w:rFonts w:ascii="游ゴシック" w:cs="游ゴシック" w:eastAsia="游ゴシック" w:hAnsi="游ゴシック"/>
          <w:b/>
          <w:bCs/>
          <w:sz w:val="28"/>
          <w:szCs w:val="28"/>
        </w:rPr>
        <w:t xml:space="preserve">2. 背景：培養陰性UTIの疫学</w:t>
      </w:r>
    </w:p>
    <w:p>
      <w:pPr>
        <w:spacing w:after="100" w:before="100"/>
      </w:pPr>
      <w:r>
        <w:rPr>
          <w:rFonts w:ascii="游明朝" w:cs="游明朝" w:eastAsia="游明朝" w:hAnsi="游明朝"/>
          <w:sz w:val="24"/>
          <w:szCs w:val="24"/>
        </w:rPr>
        <w:t xml:space="preserve">尿路感染症（UTI）は入院患者における最も頻度の高い感染症の一つであるが、臨床的にUTIが疑われる症例のうち、実際に培養陽性となる割合は必ずしも高くない。</w:t>
      </w:r>
    </w:p>
    <w:p>
      <w:pPr>
        <w:pStyle w:val="ListParagraph"/>
        <w:numPr>
          <w:ilvl w:val="0"/>
          <w:numId w:val="2"/>
        </w:numPr>
        <w:spacing w:after="60" w:before="60"/>
      </w:pPr>
      <w:r>
        <w:rPr>
          <w:rFonts w:ascii="游明朝" w:cs="游明朝" w:eastAsia="游明朝" w:hAnsi="游明朝"/>
          <w:sz w:val="24"/>
          <w:szCs w:val="24"/>
        </w:rPr>
        <w:t xml:space="preserve">急性期入院患者966名を対象とした研究では、専門家パネルが培養結果を必須条件とせずUTI診断を行っており、培養陰性でも臨床的にUTIと判断される症例が存在することが示されている（Hertz MA et al., 2024; PMID: 38984294）【エビデンスレベル: 横断研究】</w:t>
      </w:r>
    </w:p>
    <w:p>
      <w:pPr>
        <w:pStyle w:val="ListParagraph"/>
        <w:numPr>
          <w:ilvl w:val="0"/>
          <w:numId w:val="2"/>
        </w:numPr>
        <w:spacing w:after="60" w:before="60"/>
      </w:pPr>
      <w:r>
        <w:rPr>
          <w:rFonts w:ascii="游明朝" w:cs="游明朝" w:eastAsia="游明朝" w:hAnsi="游明朝"/>
          <w:sz w:val="24"/>
          <w:szCs w:val="24"/>
        </w:rPr>
        <w:t xml:space="preserve">次世代シーケンシング（NGS）を用いた研究では、培養陰性検体の53.1%で病原体が検出され、従来培養法の偽陰性率の高さが示唆されている（Chang Z et al., 2025; PMID: 40058503）【エビデンスレベル: 多施設比較研究】</w:t>
      </w:r>
    </w:p>
    <w:p>
      <w:pPr>
        <w:spacing w:after="300" w:before="300"/>
      </w:pPr>
    </w:p>
    <w:p>
      <w:pPr>
        <w:pStyle w:val="Heading2"/>
        <w:spacing w:after="160" w:before="300"/>
      </w:pPr>
      <w:r>
        <w:rPr>
          <w:rFonts w:ascii="游ゴシック" w:cs="游ゴシック" w:eastAsia="游ゴシック" w:hAnsi="游ゴシック"/>
          <w:b/>
          <w:bCs/>
          <w:sz w:val="28"/>
          <w:szCs w:val="28"/>
        </w:rPr>
        <w:t xml:space="preserve">3. 無菌性膿尿（Sterile Pyuria）の鑑別診断</w:t>
      </w:r>
    </w:p>
    <w:p>
      <w:pPr>
        <w:spacing w:after="100" w:before="100"/>
      </w:pPr>
      <w:r>
        <w:rPr>
          <w:rFonts w:ascii="游明朝" w:cs="游明朝" w:eastAsia="游明朝" w:hAnsi="游明朝"/>
          <w:sz w:val="24"/>
          <w:szCs w:val="24"/>
        </w:rPr>
        <w:t xml:space="preserve">無菌性膿尿とは、膿尿（尿沈渣WBC ≥ 10/HPF または尿中白血球エステラーゼ陽性）があるにもかかわらず、標準的な尿培養で有意な細菌が検出されない状態を指す。</w:t>
      </w:r>
    </w:p>
    <w:p>
      <w:pPr>
        <w:spacing w:after="100" w:before="100"/>
      </w:pPr>
      <w:r>
        <w:rPr>
          <w:rFonts w:ascii="游明朝" w:cs="游明朝" w:eastAsia="游明朝" w:hAnsi="游明朝"/>
          <w:sz w:val="24"/>
          <w:szCs w:val="24"/>
        </w:rPr>
        <w:t xml:space="preserve">Wise &amp; Schlegel（2015; PMID: 25760357）のNEJM総説およびDieter（2000; PMID: 10984817）の総説に基づく分類を以下に示す【エビデンスレベル: ナラティブレビュー】。</w:t>
      </w:r>
    </w:p>
    <w:p>
      <w:pPr>
        <w:pStyle w:val="Heading3"/>
        <w:spacing w:after="120" w:before="240"/>
      </w:pPr>
      <w:r>
        <w:rPr>
          <w:rFonts w:ascii="游ゴシック" w:cs="游ゴシック" w:eastAsia="游ゴシック" w:hAnsi="游ゴシック"/>
          <w:b/>
          <w:bCs/>
          <w:sz w:val="24"/>
          <w:szCs w:val="24"/>
        </w:rPr>
        <w:t xml:space="preserve">3-1. 感染性原因</w:t>
      </w:r>
    </w:p>
    <w:p>
      <w:pPr>
        <w:pStyle w:val="ListParagraph"/>
        <w:numPr>
          <w:ilvl w:val="0"/>
          <w:numId w:val="2"/>
        </w:numPr>
        <w:spacing w:after="60" w:before="60"/>
      </w:pPr>
      <w:r>
        <w:rPr>
          <w:rFonts w:ascii="游明朝" w:cs="游明朝" w:eastAsia="游明朝" w:hAnsi="游明朝"/>
          <w:b/>
          <w:bCs/>
          <w:sz w:val="24"/>
          <w:szCs w:val="24"/>
        </w:rPr>
        <w:t xml:space="preserve">培養困難菌による感染</w:t>
      </w:r>
      <w:r>
        <w:rPr>
          <w:rFonts w:ascii="游明朝" w:cs="游明朝" w:eastAsia="游明朝" w:hAnsi="游明朝"/>
          <w:sz w:val="24"/>
          <w:szCs w:val="24"/>
        </w:rPr>
        <w:t xml:space="preserve">: Chlamydia trachomatis, Mycoplasma hominis, Ureaplasma spp., 結核菌、真菌</w:t>
      </w:r>
    </w:p>
    <w:p>
      <w:pPr>
        <w:pStyle w:val="ListParagraph"/>
        <w:numPr>
          <w:ilvl w:val="1"/>
          <w:numId w:val="2"/>
        </w:numPr>
        <w:spacing w:after="40" w:before="40"/>
      </w:pPr>
      <w:r>
        <w:rPr>
          <w:rFonts w:ascii="游明朝" w:cs="游明朝" w:eastAsia="游明朝" w:hAnsi="游明朝"/>
          <w:sz w:val="24"/>
          <w:szCs w:val="24"/>
        </w:rPr>
        <w:t xml:space="preserve">Mian A et al.（2017; PMID: 29063893）は、Chlamydia/Mycoplasmaによる無菌性膿尿をPCRで診断した症例を報告【エビデンスレベル: 症例報告】</w:t>
      </w:r>
    </w:p>
    <w:p>
      <w:pPr>
        <w:pStyle w:val="ListParagraph"/>
        <w:numPr>
          <w:ilvl w:val="0"/>
          <w:numId w:val="2"/>
        </w:numPr>
        <w:spacing w:after="60" w:before="60"/>
      </w:pPr>
      <w:r>
        <w:rPr>
          <w:rFonts w:ascii="游明朝" w:cs="游明朝" w:eastAsia="游明朝" w:hAnsi="游明朝"/>
          <w:b/>
          <w:bCs/>
          <w:sz w:val="24"/>
          <w:szCs w:val="24"/>
        </w:rPr>
        <w:t xml:space="preserve">事前抗菌薬投与後の培養陰性化</w:t>
      </w:r>
    </w:p>
    <w:p>
      <w:pPr>
        <w:pStyle w:val="ListParagraph"/>
        <w:numPr>
          <w:ilvl w:val="0"/>
          <w:numId w:val="2"/>
        </w:numPr>
        <w:spacing w:after="60" w:before="60"/>
      </w:pPr>
      <w:r>
        <w:rPr>
          <w:rFonts w:ascii="游明朝" w:cs="游明朝" w:eastAsia="游明朝" w:hAnsi="游明朝"/>
          <w:b/>
          <w:bCs/>
          <w:sz w:val="24"/>
          <w:szCs w:val="24"/>
        </w:rPr>
        <w:t xml:space="preserve">ウイルス性尿路感染</w:t>
      </w:r>
      <w:r>
        <w:rPr>
          <w:rFonts w:ascii="游明朝" w:cs="游明朝" w:eastAsia="游明朝" w:hAnsi="游明朝"/>
          <w:sz w:val="24"/>
          <w:szCs w:val="24"/>
        </w:rPr>
        <w:t xml:space="preserve">（BKウイルス、アデノウイルス等、特に免疫抑制下）</w:t>
      </w:r>
    </w:p>
    <w:p>
      <w:pPr>
        <w:pStyle w:val="ListParagraph"/>
        <w:numPr>
          <w:ilvl w:val="0"/>
          <w:numId w:val="2"/>
        </w:numPr>
        <w:spacing w:after="60" w:before="60"/>
      </w:pPr>
      <w:r>
        <w:rPr>
          <w:rFonts w:ascii="游明朝" w:cs="游明朝" w:eastAsia="游明朝" w:hAnsi="游明朝"/>
          <w:b/>
          <w:bCs/>
          <w:sz w:val="24"/>
          <w:szCs w:val="24"/>
        </w:rPr>
        <w:t xml:space="preserve">寄生虫感染</w:t>
      </w:r>
      <w:r>
        <w:rPr>
          <w:rFonts w:ascii="游明朝" w:cs="游明朝" w:eastAsia="游明朝" w:hAnsi="游明朝"/>
          <w:sz w:val="24"/>
          <w:szCs w:val="24"/>
        </w:rPr>
        <w:t xml:space="preserve">（住血吸虫症など）</w:t>
      </w:r>
    </w:p>
    <w:p>
      <w:pPr>
        <w:pStyle w:val="Heading3"/>
        <w:spacing w:after="120" w:before="240"/>
      </w:pPr>
      <w:r>
        <w:rPr>
          <w:rFonts w:ascii="游ゴシック" w:cs="游ゴシック" w:eastAsia="游ゴシック" w:hAnsi="游ゴシック"/>
          <w:b/>
          <w:bCs/>
          <w:sz w:val="24"/>
          <w:szCs w:val="24"/>
        </w:rPr>
        <w:t xml:space="preserve">3-2. 非感染性原因</w:t>
      </w:r>
    </w:p>
    <w:p>
      <w:pPr>
        <w:pStyle w:val="ListParagraph"/>
        <w:numPr>
          <w:ilvl w:val="0"/>
          <w:numId w:val="2"/>
        </w:numPr>
        <w:spacing w:after="60" w:before="60"/>
      </w:pPr>
      <w:r>
        <w:rPr>
          <w:rFonts w:ascii="游明朝" w:cs="游明朝" w:eastAsia="游明朝" w:hAnsi="游明朝"/>
          <w:b/>
          <w:bCs/>
          <w:sz w:val="24"/>
          <w:szCs w:val="24"/>
        </w:rPr>
        <w:t xml:space="preserve">全身性疾患</w:t>
      </w:r>
      <w:r>
        <w:rPr>
          <w:rFonts w:ascii="游明朝" w:cs="游明朝" w:eastAsia="游明朝" w:hAnsi="游明朝"/>
          <w:sz w:val="24"/>
          <w:szCs w:val="24"/>
        </w:rPr>
        <w:t xml:space="preserve">: SLE、川崎病、自己免疫性間質性腎炎</w:t>
      </w:r>
    </w:p>
    <w:p>
      <w:pPr>
        <w:pStyle w:val="ListParagraph"/>
        <w:numPr>
          <w:ilvl w:val="0"/>
          <w:numId w:val="2"/>
        </w:numPr>
        <w:spacing w:after="60" w:before="60"/>
      </w:pPr>
      <w:r>
        <w:rPr>
          <w:rFonts w:ascii="游明朝" w:cs="游明朝" w:eastAsia="游明朝" w:hAnsi="游明朝"/>
          <w:b/>
          <w:bCs/>
          <w:sz w:val="24"/>
          <w:szCs w:val="24"/>
        </w:rPr>
        <w:t xml:space="preserve">構造的/泌尿器科的</w:t>
      </w:r>
      <w:r>
        <w:rPr>
          <w:rFonts w:ascii="游明朝" w:cs="游明朝" w:eastAsia="游明朝" w:hAnsi="游明朝"/>
          <w:sz w:val="24"/>
          <w:szCs w:val="24"/>
        </w:rPr>
        <w:t xml:space="preserve">: 尿路結石、腎嚢胞、前立腺疾患、異物</w:t>
      </w:r>
    </w:p>
    <w:p>
      <w:pPr>
        <w:pStyle w:val="ListParagraph"/>
        <w:numPr>
          <w:ilvl w:val="0"/>
          <w:numId w:val="2"/>
        </w:numPr>
        <w:spacing w:after="60" w:before="60"/>
      </w:pPr>
      <w:r>
        <w:rPr>
          <w:rFonts w:ascii="游明朝" w:cs="游明朝" w:eastAsia="游明朝" w:hAnsi="游明朝"/>
          <w:b/>
          <w:bCs/>
          <w:sz w:val="24"/>
          <w:szCs w:val="24"/>
        </w:rPr>
        <w:t xml:space="preserve">腫瘍性</w:t>
      </w:r>
      <w:r>
        <w:rPr>
          <w:rFonts w:ascii="游明朝" w:cs="游明朝" w:eastAsia="游明朝" w:hAnsi="游明朝"/>
          <w:sz w:val="24"/>
          <w:szCs w:val="24"/>
        </w:rPr>
        <w:t xml:space="preserve">: 膀胱癌、腎細胞癌</w:t>
      </w:r>
    </w:p>
    <w:p>
      <w:pPr>
        <w:pStyle w:val="ListParagraph"/>
        <w:numPr>
          <w:ilvl w:val="0"/>
          <w:numId w:val="2"/>
        </w:numPr>
        <w:spacing w:after="60" w:before="60"/>
      </w:pPr>
      <w:r>
        <w:rPr>
          <w:rFonts w:ascii="游明朝" w:cs="游明朝" w:eastAsia="游明朝" w:hAnsi="游明朝"/>
          <w:b/>
          <w:bCs/>
          <w:sz w:val="24"/>
          <w:szCs w:val="24"/>
        </w:rPr>
        <w:t xml:space="preserve">薬剤性</w:t>
      </w:r>
      <w:r>
        <w:rPr>
          <w:rFonts w:ascii="游明朝" w:cs="游明朝" w:eastAsia="游明朝" w:hAnsi="游明朝"/>
          <w:sz w:val="24"/>
          <w:szCs w:val="24"/>
        </w:rPr>
        <w:t xml:space="preserve">: NSAIDs、シクロホスファミド（出血性膀胱炎）、抗菌薬関連</w:t>
      </w:r>
    </w:p>
    <w:p>
      <w:pPr>
        <w:pStyle w:val="ListParagraph"/>
        <w:numPr>
          <w:ilvl w:val="0"/>
          <w:numId w:val="2"/>
        </w:numPr>
        <w:spacing w:after="60" w:before="60"/>
      </w:pPr>
      <w:r>
        <w:rPr>
          <w:rFonts w:ascii="游明朝" w:cs="游明朝" w:eastAsia="游明朝" w:hAnsi="游明朝"/>
          <w:b/>
          <w:bCs/>
          <w:sz w:val="24"/>
          <w:szCs w:val="24"/>
        </w:rPr>
        <w:t xml:space="preserve">好酸球尿</w:t>
      </w:r>
      <w:r>
        <w:rPr>
          <w:rFonts w:ascii="游明朝" w:cs="游明朝" w:eastAsia="游明朝" w:hAnsi="游明朝"/>
          <w:sz w:val="24"/>
          <w:szCs w:val="24"/>
        </w:rPr>
        <w:t xml:space="preserve">: 薬剤性間質性腎炎、コレステロール塞栓、寄生虫感染</w:t>
      </w:r>
    </w:p>
    <w:p>
      <w:pPr>
        <w:pStyle w:val="Heading3"/>
        <w:spacing w:after="120" w:before="240"/>
      </w:pPr>
      <w:r>
        <w:rPr>
          <w:rFonts w:ascii="游ゴシック" w:cs="游ゴシック" w:eastAsia="游ゴシック" w:hAnsi="游ゴシック"/>
          <w:b/>
          <w:bCs/>
          <w:sz w:val="24"/>
          <w:szCs w:val="24"/>
        </w:rPr>
        <w:t xml:space="preserve">3-3. 本症例における鑑別ポイント</w:t>
      </w:r>
    </w:p>
    <w:p>
      <w:pPr>
        <w:spacing w:after="100" w:before="100"/>
      </w:pPr>
      <w:r>
        <w:rPr>
          <w:rFonts w:ascii="游明朝" w:cs="游明朝" w:eastAsia="游明朝" w:hAnsi="游明朝"/>
          <w:sz w:val="24"/>
          <w:szCs w:val="24"/>
        </w:rPr>
        <w:t xml:space="preserve">免疫抑制剤使用中の多発性筋炎患者では、上記のうち</w:t>
      </w:r>
      <w:r>
        <w:rPr>
          <w:rFonts w:ascii="游明朝" w:cs="游明朝" w:eastAsia="游明朝" w:hAnsi="游明朝"/>
          <w:b/>
          <w:bCs/>
          <w:sz w:val="24"/>
          <w:szCs w:val="24"/>
        </w:rPr>
        <w:t xml:space="preserve">感染性原因</w:t>
      </w:r>
      <w:r>
        <w:rPr>
          <w:rFonts w:ascii="游明朝" w:cs="游明朝" w:eastAsia="游明朝" w:hAnsi="游明朝"/>
          <w:sz w:val="24"/>
          <w:szCs w:val="24"/>
        </w:rPr>
        <w:t xml:space="preserve">（培養困難菌、事前抗菌薬による陰性化）と</w:t>
      </w:r>
      <w:r>
        <w:rPr>
          <w:rFonts w:ascii="游明朝" w:cs="游明朝" w:eastAsia="游明朝" w:hAnsi="游明朝"/>
          <w:b/>
          <w:bCs/>
          <w:sz w:val="24"/>
          <w:szCs w:val="24"/>
        </w:rPr>
        <w:t xml:space="preserve">薬剤性</w:t>
      </w:r>
      <w:r>
        <w:rPr>
          <w:rFonts w:ascii="游明朝" w:cs="游明朝" w:eastAsia="游明朝" w:hAnsi="游明朝"/>
          <w:sz w:val="24"/>
          <w:szCs w:val="24"/>
        </w:rPr>
        <w:t xml:space="preserve">（免疫抑制剤関連）の両者を考慮する必要がある。</w:t>
      </w:r>
    </w:p>
    <w:p>
      <w:pPr>
        <w:spacing w:after="300" w:before="300"/>
      </w:pPr>
    </w:p>
    <w:p>
      <w:pPr>
        <w:pStyle w:val="Heading2"/>
        <w:spacing w:after="160" w:before="300"/>
      </w:pPr>
      <w:r>
        <w:rPr>
          <w:rFonts w:ascii="游ゴシック" w:cs="游ゴシック" w:eastAsia="游ゴシック" w:hAnsi="游ゴシック"/>
          <w:b/>
          <w:bCs/>
          <w:sz w:val="28"/>
          <w:szCs w:val="28"/>
        </w:rPr>
        <w:t xml:space="preserve">4. 培養陰性となるメカニズム</w:t>
      </w:r>
    </w:p>
    <w:p>
      <w:pPr>
        <w:pStyle w:val="Heading3"/>
        <w:spacing w:after="120" w:before="240"/>
      </w:pPr>
      <w:r>
        <w:rPr>
          <w:rFonts w:ascii="游ゴシック" w:cs="游ゴシック" w:eastAsia="游ゴシック" w:hAnsi="游ゴシック"/>
          <w:b/>
          <w:bCs/>
          <w:sz w:val="24"/>
          <w:szCs w:val="24"/>
        </w:rPr>
        <w:t xml:space="preserve">4-1. 事前抗菌薬投与の影響</w:t>
      </w:r>
    </w:p>
    <w:p>
      <w:pPr>
        <w:spacing w:after="100" w:before="100"/>
      </w:pPr>
      <w:r>
        <w:rPr>
          <w:rFonts w:ascii="游明朝" w:cs="游明朝" w:eastAsia="游明朝" w:hAnsi="游明朝"/>
          <w:sz w:val="24"/>
          <w:szCs w:val="24"/>
        </w:rPr>
        <w:t xml:space="preserve">Jadhav VB et al.（2025; PMID: 40510091）による621名の前向き観察研究は、この問題に直接的なエビデンスを提供している【エビデンスレベル: 前向き観察研究】。</w:t>
      </w:r>
    </w:p>
    <w:p>
      <w:pPr>
        <w:pStyle w:val="ListParagraph"/>
        <w:numPr>
          <w:ilvl w:val="0"/>
          <w:numId w:val="2"/>
        </w:numPr>
        <w:spacing w:after="60" w:before="60"/>
      </w:pPr>
      <w:r>
        <w:rPr>
          <w:rFonts w:ascii="游明朝" w:cs="游明朝" w:eastAsia="游明朝" w:hAnsi="游明朝"/>
          <w:sz w:val="24"/>
          <w:szCs w:val="24"/>
        </w:rPr>
        <w:t xml:space="preserve">尿中に抗菌物質（antimicrobial substances: ABS）が検出された158例では：</w:t>
      </w:r>
    </w:p>
    <w:p>
      <w:pPr>
        <w:pStyle w:val="ListParagraph"/>
        <w:numPr>
          <w:ilvl w:val="1"/>
          <w:numId w:val="2"/>
        </w:numPr>
        <w:spacing w:after="40" w:before="40"/>
      </w:pPr>
      <w:r>
        <w:rPr>
          <w:rFonts w:ascii="游明朝" w:cs="游明朝" w:eastAsia="游明朝" w:hAnsi="游明朝"/>
          <w:sz w:val="24"/>
          <w:szCs w:val="24"/>
        </w:rPr>
        <w:t xml:space="preserve">培養陽性率が</w:t>
      </w:r>
      <w:r>
        <w:rPr>
          <w:rFonts w:ascii="游明朝" w:cs="游明朝" w:eastAsia="游明朝" w:hAnsi="游明朝"/>
          <w:b/>
          <w:bCs/>
          <w:sz w:val="24"/>
          <w:szCs w:val="24"/>
        </w:rPr>
        <w:t xml:space="preserve">有意に低下</w:t>
      </w:r>
    </w:p>
    <w:p>
      <w:pPr>
        <w:pStyle w:val="ListParagraph"/>
        <w:numPr>
          <w:ilvl w:val="1"/>
          <w:numId w:val="2"/>
        </w:numPr>
        <w:spacing w:after="40" w:before="40"/>
      </w:pPr>
      <w:r>
        <w:rPr>
          <w:rFonts w:ascii="游明朝" w:cs="游明朝" w:eastAsia="游明朝" w:hAnsi="游明朝"/>
          <w:sz w:val="24"/>
          <w:szCs w:val="24"/>
        </w:rPr>
        <w:t xml:space="preserve">"No growth" および "insignificant growth" の割合が</w:t>
      </w:r>
      <w:r>
        <w:rPr>
          <w:rFonts w:ascii="游明朝" w:cs="游明朝" w:eastAsia="游明朝" w:hAnsi="游明朝"/>
          <w:b/>
          <w:bCs/>
          <w:sz w:val="24"/>
          <w:szCs w:val="24"/>
        </w:rPr>
        <w:t xml:space="preserve">有意に増加</w:t>
      </w:r>
    </w:p>
    <w:p>
      <w:pPr>
        <w:pStyle w:val="ListParagraph"/>
        <w:numPr>
          <w:ilvl w:val="1"/>
          <w:numId w:val="2"/>
        </w:numPr>
        <w:spacing w:after="40" w:before="40"/>
      </w:pPr>
      <w:r>
        <w:rPr>
          <w:rFonts w:ascii="游明朝" w:cs="游明朝" w:eastAsia="游明朝" w:hAnsi="游明朝"/>
          <w:b/>
          <w:bCs/>
          <w:sz w:val="24"/>
          <w:szCs w:val="24"/>
        </w:rPr>
        <w:t xml:space="preserve">E. coli の検出率が特に低下</w:t>
      </w:r>
      <w:r>
        <w:rPr>
          <w:rFonts w:ascii="游明朝" w:cs="游明朝" w:eastAsia="游明朝" w:hAnsi="游明朝"/>
          <w:sz w:val="24"/>
          <w:szCs w:val="24"/>
        </w:rPr>
        <w:t xml:space="preserve">し、偽陰性リスクが上昇</w:t>
      </w:r>
    </w:p>
    <w:p>
      <w:pPr>
        <w:pStyle w:val="ListParagraph"/>
        <w:numPr>
          <w:ilvl w:val="0"/>
          <w:numId w:val="2"/>
        </w:numPr>
        <w:spacing w:after="60" w:before="60"/>
      </w:pPr>
      <w:r>
        <w:rPr>
          <w:rFonts w:ascii="游明朝" w:cs="游明朝" w:eastAsia="游明朝" w:hAnsi="游明朝"/>
          <w:sz w:val="24"/>
          <w:szCs w:val="24"/>
        </w:rPr>
        <w:t xml:space="preserve">臨床的意義：事前に抗菌薬が投与された場合（救急外来での経験的治療含む）、尿培養の信頼性は大きく損なわれる</w:t>
      </w:r>
    </w:p>
    <w:p>
      <w:pPr>
        <w:pStyle w:val="Heading3"/>
        <w:spacing w:after="120" w:before="240"/>
      </w:pPr>
      <w:r>
        <w:rPr>
          <w:rFonts w:ascii="游ゴシック" w:cs="游ゴシック" w:eastAsia="游ゴシック" w:hAnsi="游ゴシック"/>
          <w:b/>
          <w:bCs/>
          <w:sz w:val="24"/>
          <w:szCs w:val="24"/>
        </w:rPr>
        <w:t xml:space="preserve">4-2. 従来培養法の検出限界</w:t>
      </w:r>
    </w:p>
    <w:p>
      <w:pPr>
        <w:spacing w:after="100" w:before="100"/>
      </w:pPr>
      <w:r>
        <w:rPr>
          <w:rFonts w:ascii="游明朝" w:cs="游明朝" w:eastAsia="游明朝" w:hAnsi="游明朝"/>
          <w:sz w:val="24"/>
          <w:szCs w:val="24"/>
        </w:rPr>
        <w:t xml:space="preserve">標準的な尿培養法にはいくつかの根本的な限界がある（Fritzenwanker M et al., 2016; PMID: 27624932）【エビデンスレベル: ナラティブレビュー】。</w:t>
      </w:r>
    </w:p>
    <w:p>
      <w:pPr>
        <w:pStyle w:val="ListParagraph"/>
        <w:numPr>
          <w:ilvl w:val="0"/>
          <w:numId w:val="2"/>
        </w:numPr>
        <w:spacing w:after="60" w:before="60"/>
      </w:pPr>
      <w:r>
        <w:rPr>
          <w:rFonts w:ascii="游明朝" w:cs="游明朝" w:eastAsia="游明朝" w:hAnsi="游明朝"/>
          <w:b/>
          <w:bCs/>
          <w:sz w:val="24"/>
          <w:szCs w:val="24"/>
        </w:rPr>
        <w:t xml:space="preserve">閾値の問題</w:t>
      </w:r>
      <w:r>
        <w:rPr>
          <w:rFonts w:ascii="游明朝" w:cs="游明朝" w:eastAsia="游明朝" w:hAnsi="游明朝"/>
          <w:sz w:val="24"/>
          <w:szCs w:val="24"/>
        </w:rPr>
        <w:t xml:space="preserve">: 従来の有意細菌尿の閾値（≥ 10⁵ CFU/mL）は1950年代のKassの基準に基づくが、実際には10²〜10⁴ CFU/mLでも真の感染を示す場合がある</w:t>
      </w:r>
    </w:p>
    <w:p>
      <w:pPr>
        <w:pStyle w:val="ListParagraph"/>
        <w:numPr>
          <w:ilvl w:val="0"/>
          <w:numId w:val="2"/>
        </w:numPr>
        <w:spacing w:after="60" w:before="60"/>
      </w:pPr>
      <w:r>
        <w:rPr>
          <w:rFonts w:ascii="游明朝" w:cs="游明朝" w:eastAsia="游明朝" w:hAnsi="游明朝"/>
          <w:b/>
          <w:bCs/>
          <w:sz w:val="24"/>
          <w:szCs w:val="24"/>
        </w:rPr>
        <w:t xml:space="preserve">嫌気性菌の検出困難</w:t>
      </w:r>
      <w:r>
        <w:rPr>
          <w:rFonts w:ascii="游明朝" w:cs="游明朝" w:eastAsia="游明朝" w:hAnsi="游明朝"/>
          <w:sz w:val="24"/>
          <w:szCs w:val="24"/>
        </w:rPr>
        <w:t xml:space="preserve">: 標準的な好気培養では嫌気性菌は検出されない</w:t>
      </w:r>
    </w:p>
    <w:p>
      <w:pPr>
        <w:pStyle w:val="ListParagraph"/>
        <w:numPr>
          <w:ilvl w:val="0"/>
          <w:numId w:val="2"/>
        </w:numPr>
        <w:spacing w:after="60" w:before="60"/>
      </w:pPr>
      <w:r>
        <w:rPr>
          <w:rFonts w:ascii="游明朝" w:cs="游明朝" w:eastAsia="游明朝" w:hAnsi="游明朝"/>
          <w:b/>
          <w:bCs/>
          <w:sz w:val="24"/>
          <w:szCs w:val="24"/>
        </w:rPr>
        <w:t xml:space="preserve">難培養菌</w:t>
      </w:r>
      <w:r>
        <w:rPr>
          <w:rFonts w:ascii="游明朝" w:cs="游明朝" w:eastAsia="游明朝" w:hAnsi="游明朝"/>
          <w:sz w:val="24"/>
          <w:szCs w:val="24"/>
        </w:rPr>
        <w:t xml:space="preserve">: Ureaplasma spp., Mycoplasma spp., Chlamydia spp., 細胞内寄生菌（Brucella等）は特殊培地や培養条件を要する</w:t>
      </w:r>
    </w:p>
    <w:p>
      <w:pPr>
        <w:pStyle w:val="ListParagraph"/>
        <w:numPr>
          <w:ilvl w:val="0"/>
          <w:numId w:val="2"/>
        </w:numPr>
        <w:spacing w:after="60" w:before="60"/>
      </w:pPr>
      <w:r>
        <w:rPr>
          <w:rFonts w:ascii="游明朝" w:cs="游明朝" w:eastAsia="游明朝" w:hAnsi="游明朝"/>
          <w:b/>
          <w:bCs/>
          <w:sz w:val="24"/>
          <w:szCs w:val="24"/>
        </w:rPr>
        <w:t xml:space="preserve">培養時間</w:t>
      </w:r>
      <w:r>
        <w:rPr>
          <w:rFonts w:ascii="游明朝" w:cs="游明朝" w:eastAsia="游明朝" w:hAnsi="游明朝"/>
          <w:sz w:val="24"/>
          <w:szCs w:val="24"/>
        </w:rPr>
        <w:t xml:space="preserve">: 標準的な24-48時間の培養では、増殖が遅い菌は検出されない</w:t>
      </w:r>
    </w:p>
    <w:p>
      <w:pPr>
        <w:pStyle w:val="ListParagraph"/>
        <w:numPr>
          <w:ilvl w:val="0"/>
          <w:numId w:val="2"/>
        </w:numPr>
        <w:spacing w:after="60" w:before="60"/>
      </w:pPr>
      <w:r>
        <w:rPr>
          <w:rFonts w:ascii="游明朝" w:cs="游明朝" w:eastAsia="游明朝" w:hAnsi="游明朝"/>
          <w:b/>
          <w:bCs/>
          <w:sz w:val="24"/>
          <w:szCs w:val="24"/>
        </w:rPr>
        <w:t xml:space="preserve">多菌感染の見落とし</w:t>
      </w:r>
      <w:r>
        <w:rPr>
          <w:rFonts w:ascii="游明朝" w:cs="游明朝" w:eastAsia="游明朝" w:hAnsi="游明朝"/>
          <w:sz w:val="24"/>
          <w:szCs w:val="24"/>
        </w:rPr>
        <w:t xml:space="preserve">: Chang Z et al.（2025; PMID: 40058503）は、tNGSで多菌感染の検出率が55.4%であったのに対し、培養法では0%であったと報告</w:t>
      </w:r>
    </w:p>
    <w:p>
      <w:pPr>
        <w:pStyle w:val="Heading3"/>
        <w:spacing w:after="120" w:before="240"/>
      </w:pPr>
      <w:r>
        <w:rPr>
          <w:rFonts w:ascii="游ゴシック" w:cs="游ゴシック" w:eastAsia="游ゴシック" w:hAnsi="游ゴシック"/>
          <w:b/>
          <w:bCs/>
          <w:sz w:val="24"/>
          <w:szCs w:val="24"/>
        </w:rPr>
        <w:t xml:space="preserve">4-3. 免疫抑制下での特殊性</w:t>
      </w:r>
    </w:p>
    <w:p>
      <w:pPr>
        <w:spacing w:after="100" w:before="100"/>
      </w:pPr>
      <w:r>
        <w:rPr>
          <w:rFonts w:ascii="游明朝" w:cs="游明朝" w:eastAsia="游明朝" w:hAnsi="游明朝"/>
          <w:sz w:val="24"/>
          <w:szCs w:val="24"/>
        </w:rPr>
        <w:t xml:space="preserve">免疫抑制患者では以下の理由で培養陰性となりやすい：</w:t>
      </w:r>
    </w:p>
    <w:p>
      <w:pPr>
        <w:pStyle w:val="ListParagraph"/>
        <w:numPr>
          <w:ilvl w:val="0"/>
          <w:numId w:val="2"/>
        </w:numPr>
        <w:spacing w:after="60" w:before="60"/>
      </w:pPr>
      <w:r>
        <w:rPr>
          <w:rFonts w:ascii="游明朝" w:cs="游明朝" w:eastAsia="游明朝" w:hAnsi="游明朝"/>
          <w:b/>
          <w:bCs/>
          <w:sz w:val="24"/>
          <w:szCs w:val="24"/>
        </w:rPr>
        <w:t xml:space="preserve">非典型的な起炎菌</w:t>
      </w:r>
      <w:r>
        <w:rPr>
          <w:rFonts w:ascii="游明朝" w:cs="游明朝" w:eastAsia="游明朝" w:hAnsi="游明朝"/>
          <w:sz w:val="24"/>
          <w:szCs w:val="24"/>
        </w:rPr>
        <w:t xml:space="preserve">: 通常の起炎菌に加え、真菌（Candida spp.）、ウイルス（BKウイルス、CMV）、非定型細菌の頻度が上昇</w:t>
      </w:r>
    </w:p>
    <w:p>
      <w:pPr>
        <w:pStyle w:val="ListParagraph"/>
        <w:numPr>
          <w:ilvl w:val="0"/>
          <w:numId w:val="2"/>
        </w:numPr>
        <w:spacing w:after="60" w:before="60"/>
      </w:pPr>
      <w:r>
        <w:rPr>
          <w:rFonts w:ascii="游明朝" w:cs="游明朝" w:eastAsia="游明朝" w:hAnsi="游明朝"/>
          <w:b/>
          <w:bCs/>
          <w:sz w:val="24"/>
          <w:szCs w:val="24"/>
        </w:rPr>
        <w:t xml:space="preserve">菌量の低下</w:t>
      </w:r>
      <w:r>
        <w:rPr>
          <w:rFonts w:ascii="游明朝" w:cs="游明朝" w:eastAsia="游明朝" w:hAnsi="游明朝"/>
          <w:sz w:val="24"/>
          <w:szCs w:val="24"/>
        </w:rPr>
        <w:t xml:space="preserve">: 免疫抑制下では炎症反応が修飾され、菌量が低い状態でも症候性感染を呈しうる（培養閾値以下）</w:t>
      </w:r>
    </w:p>
    <w:p>
      <w:pPr>
        <w:pStyle w:val="ListParagraph"/>
        <w:numPr>
          <w:ilvl w:val="0"/>
          <w:numId w:val="2"/>
        </w:numPr>
        <w:spacing w:after="60" w:before="60"/>
      </w:pPr>
      <w:r>
        <w:rPr>
          <w:rFonts w:ascii="游明朝" w:cs="游明朝" w:eastAsia="游明朝" w:hAnsi="游明朝"/>
          <w:b/>
          <w:bCs/>
          <w:sz w:val="24"/>
          <w:szCs w:val="24"/>
        </w:rPr>
        <w:t xml:space="preserve">日和見感染菌の培養困難性</w:t>
      </w:r>
      <w:r>
        <w:rPr>
          <w:rFonts w:ascii="游明朝" w:cs="游明朝" w:eastAsia="游明朝" w:hAnsi="游明朝"/>
          <w:sz w:val="24"/>
          <w:szCs w:val="24"/>
        </w:rPr>
        <w:t xml:space="preserve">: Pneumocystis jirovecii、Nocardia、非結核性抗酸菌などは標準培養で検出不能</w:t>
      </w:r>
    </w:p>
    <w:p>
      <w:pPr>
        <w:pStyle w:val="ListParagraph"/>
        <w:numPr>
          <w:ilvl w:val="0"/>
          <w:numId w:val="2"/>
        </w:numPr>
        <w:spacing w:after="60" w:before="60"/>
      </w:pPr>
      <w:r>
        <w:rPr>
          <w:rFonts w:ascii="游明朝" w:cs="游明朝" w:eastAsia="游明朝" w:hAnsi="游明朝"/>
          <w:b/>
          <w:bCs/>
          <w:sz w:val="24"/>
          <w:szCs w:val="24"/>
        </w:rPr>
        <w:t xml:space="preserve">薬剤との相互作用</w:t>
      </w:r>
      <w:r>
        <w:rPr>
          <w:rFonts w:ascii="游明朝" w:cs="游明朝" w:eastAsia="游明朝" w:hAnsi="游明朝"/>
          <w:sz w:val="24"/>
          <w:szCs w:val="24"/>
        </w:rPr>
        <w:t xml:space="preserve">: 免疫抑制剤の一部（特にミコフェノール酸モフェチル等）は抗微生物活性を有する可能性がある</w:t>
      </w:r>
    </w:p>
    <w:p>
      <w:pPr>
        <w:pStyle w:val="Heading3"/>
        <w:spacing w:after="120" w:before="240"/>
      </w:pPr>
      <w:r>
        <w:rPr>
          <w:rFonts w:ascii="游ゴシック" w:cs="游ゴシック" w:eastAsia="游ゴシック" w:hAnsi="游ゴシック"/>
          <w:b/>
          <w:bCs/>
          <w:sz w:val="24"/>
          <w:szCs w:val="24"/>
        </w:rPr>
        <w:t xml:space="preserve">4-4. 検体採取・取り扱いの問題</w:t>
      </w:r>
    </w:p>
    <w:p>
      <w:pPr>
        <w:pStyle w:val="ListParagraph"/>
        <w:numPr>
          <w:ilvl w:val="0"/>
          <w:numId w:val="2"/>
        </w:numPr>
        <w:spacing w:after="60" w:before="60"/>
      </w:pPr>
      <w:r>
        <w:rPr>
          <w:rFonts w:ascii="游明朝" w:cs="游明朝" w:eastAsia="游明朝" w:hAnsi="游明朝"/>
          <w:b/>
          <w:bCs/>
          <w:sz w:val="24"/>
          <w:szCs w:val="24"/>
        </w:rPr>
        <w:t xml:space="preserve">採尿方法</w:t>
      </w:r>
      <w:r>
        <w:rPr>
          <w:rFonts w:ascii="游明朝" w:cs="游明朝" w:eastAsia="游明朝" w:hAnsi="游明朝"/>
          <w:sz w:val="24"/>
          <w:szCs w:val="24"/>
        </w:rPr>
        <w:t xml:space="preserve">: 中間尿 vs カテーテル尿で汚染率が異なる</w:t>
      </w:r>
    </w:p>
    <w:p>
      <w:pPr>
        <w:pStyle w:val="ListParagraph"/>
        <w:numPr>
          <w:ilvl w:val="0"/>
          <w:numId w:val="2"/>
        </w:numPr>
        <w:spacing w:after="60" w:before="60"/>
      </w:pPr>
      <w:r>
        <w:rPr>
          <w:rFonts w:ascii="游明朝" w:cs="游明朝" w:eastAsia="游明朝" w:hAnsi="游明朝"/>
          <w:b/>
          <w:bCs/>
          <w:sz w:val="24"/>
          <w:szCs w:val="24"/>
        </w:rPr>
        <w:t xml:space="preserve">搬送時間</w:t>
      </w:r>
      <w:r>
        <w:rPr>
          <w:rFonts w:ascii="游明朝" w:cs="游明朝" w:eastAsia="游明朝" w:hAnsi="游明朝"/>
          <w:sz w:val="24"/>
          <w:szCs w:val="24"/>
        </w:rPr>
        <w:t xml:space="preserve">: 採取後2時間以内に処理されない場合、菌の増殖または死滅が起こる</w:t>
      </w:r>
    </w:p>
    <w:p>
      <w:pPr>
        <w:pStyle w:val="ListParagraph"/>
        <w:numPr>
          <w:ilvl w:val="0"/>
          <w:numId w:val="2"/>
        </w:numPr>
        <w:spacing w:after="60" w:before="60"/>
      </w:pPr>
      <w:r>
        <w:rPr>
          <w:rFonts w:ascii="游明朝" w:cs="游明朝" w:eastAsia="游明朝" w:hAnsi="游明朝"/>
          <w:b/>
          <w:bCs/>
          <w:sz w:val="24"/>
          <w:szCs w:val="24"/>
        </w:rPr>
        <w:t xml:space="preserve">保存温度</w:t>
      </w:r>
      <w:r>
        <w:rPr>
          <w:rFonts w:ascii="游明朝" w:cs="游明朝" w:eastAsia="游明朝" w:hAnsi="游明朝"/>
          <w:sz w:val="24"/>
          <w:szCs w:val="24"/>
        </w:rPr>
        <w:t xml:space="preserve">: 室温放置による菌叢変化</w:t>
      </w:r>
    </w:p>
    <w:p>
      <w:pPr>
        <w:pStyle w:val="ListParagraph"/>
        <w:numPr>
          <w:ilvl w:val="0"/>
          <w:numId w:val="2"/>
        </w:numPr>
        <w:spacing w:after="60" w:before="60"/>
      </w:pPr>
      <w:r>
        <w:rPr>
          <w:rFonts w:ascii="游明朝" w:cs="游明朝" w:eastAsia="游明朝" w:hAnsi="游明朝"/>
          <w:b/>
          <w:bCs/>
          <w:sz w:val="24"/>
          <w:szCs w:val="24"/>
        </w:rPr>
        <w:t xml:space="preserve">培地の選択</w:t>
      </w:r>
      <w:r>
        <w:rPr>
          <w:rFonts w:ascii="游明朝" w:cs="游明朝" w:eastAsia="游明朝" w:hAnsi="游明朝"/>
          <w:sz w:val="24"/>
          <w:szCs w:val="24"/>
        </w:rPr>
        <w:t xml:space="preserve">: ルーチンの血液寒天培地・MacConkey寒天培地では検出できない菌種が存在</w:t>
      </w:r>
    </w:p>
    <w:p>
      <w:pPr>
        <w:pStyle w:val="Heading3"/>
        <w:spacing w:after="120" w:before="240"/>
      </w:pPr>
      <w:r>
        <w:rPr>
          <w:rFonts w:ascii="游ゴシック" w:cs="游ゴシック" w:eastAsia="游ゴシック" w:hAnsi="游ゴシック"/>
          <w:b/>
          <w:bCs/>
          <w:sz w:val="24"/>
          <w:szCs w:val="24"/>
        </w:rPr>
        <w:t xml:space="preserve">4-5. 非細菌性起炎微生物</w:t>
      </w:r>
    </w:p>
    <w:p>
      <w:pPr>
        <w:pStyle w:val="ListParagraph"/>
        <w:numPr>
          <w:ilvl w:val="0"/>
          <w:numId w:val="2"/>
        </w:numPr>
        <w:spacing w:after="60" w:before="60"/>
      </w:pPr>
      <w:r>
        <w:rPr>
          <w:rFonts w:ascii="游明朝" w:cs="游明朝" w:eastAsia="游明朝" w:hAnsi="游明朝"/>
          <w:b/>
          <w:bCs/>
          <w:sz w:val="24"/>
          <w:szCs w:val="24"/>
        </w:rPr>
        <w:t xml:space="preserve">真菌</w:t>
      </w:r>
      <w:r>
        <w:rPr>
          <w:rFonts w:ascii="游明朝" w:cs="游明朝" w:eastAsia="游明朝" w:hAnsi="游明朝"/>
          <w:sz w:val="24"/>
          <w:szCs w:val="24"/>
        </w:rPr>
        <w:t xml:space="preserve">: Candida spp.は標準培養で検出されることもあるが、Aspergillus、Cryptococcusは見逃されやすい</w:t>
      </w:r>
    </w:p>
    <w:p>
      <w:pPr>
        <w:pStyle w:val="ListParagraph"/>
        <w:numPr>
          <w:ilvl w:val="0"/>
          <w:numId w:val="2"/>
        </w:numPr>
        <w:spacing w:after="60" w:before="60"/>
      </w:pPr>
      <w:r>
        <w:rPr>
          <w:rFonts w:ascii="游明朝" w:cs="游明朝" w:eastAsia="游明朝" w:hAnsi="游明朝"/>
          <w:b/>
          <w:bCs/>
          <w:sz w:val="24"/>
          <w:szCs w:val="24"/>
        </w:rPr>
        <w:t xml:space="preserve">ウイルス</w:t>
      </w:r>
      <w:r>
        <w:rPr>
          <w:rFonts w:ascii="游明朝" w:cs="游明朝" w:eastAsia="游明朝" w:hAnsi="游明朝"/>
          <w:sz w:val="24"/>
          <w:szCs w:val="24"/>
        </w:rPr>
        <w:t xml:space="preserve">: BKウイルス（特に腎移植後）、アデノウイルス、CMVは標準細菌培養では検出不可能</w:t>
      </w:r>
    </w:p>
    <w:p>
      <w:pPr>
        <w:pStyle w:val="ListParagraph"/>
        <w:numPr>
          <w:ilvl w:val="0"/>
          <w:numId w:val="2"/>
        </w:numPr>
        <w:spacing w:after="60" w:before="60"/>
      </w:pPr>
      <w:r>
        <w:rPr>
          <w:rFonts w:ascii="游明朝" w:cs="游明朝" w:eastAsia="游明朝" w:hAnsi="游明朝"/>
          <w:b/>
          <w:bCs/>
          <w:sz w:val="24"/>
          <w:szCs w:val="24"/>
        </w:rPr>
        <w:t xml:space="preserve">寄生虫</w:t>
      </w:r>
      <w:r>
        <w:rPr>
          <w:rFonts w:ascii="游明朝" w:cs="游明朝" w:eastAsia="游明朝" w:hAnsi="游明朝"/>
          <w:sz w:val="24"/>
          <w:szCs w:val="24"/>
        </w:rPr>
        <w:t xml:space="preserve">: Schistosoma haematobium（住血吸虫）は膿尿の原因となるが培養では検出されない</w:t>
      </w:r>
    </w:p>
    <w:p>
      <w:pPr>
        <w:pStyle w:val="ListParagraph"/>
        <w:numPr>
          <w:ilvl w:val="0"/>
          <w:numId w:val="2"/>
        </w:numPr>
        <w:spacing w:after="60" w:before="60"/>
      </w:pPr>
      <w:r>
        <w:rPr>
          <w:rFonts w:ascii="游明朝" w:cs="游明朝" w:eastAsia="游明朝" w:hAnsi="游明朝"/>
          <w:b/>
          <w:bCs/>
          <w:sz w:val="24"/>
          <w:szCs w:val="24"/>
        </w:rPr>
        <w:t xml:space="preserve">Ureaplasma parvum</w:t>
      </w:r>
      <w:r>
        <w:rPr>
          <w:rFonts w:ascii="游明朝" w:cs="游明朝" w:eastAsia="游明朝" w:hAnsi="游明朝"/>
          <w:sz w:val="24"/>
          <w:szCs w:val="24"/>
        </w:rPr>
        <w:t xml:space="preserve">: Chang Z et al.（2025; PMID: 40058503）のtNGS研究で培養陰性例から検出された難培養菌の代表例</w:t>
      </w:r>
    </w:p>
    <w:p>
      <w:pPr>
        <w:spacing w:after="300" w:before="300"/>
      </w:pPr>
    </w:p>
    <w:p>
      <w:pPr>
        <w:pStyle w:val="Heading2"/>
        <w:spacing w:after="160" w:before="300"/>
      </w:pPr>
      <w:r>
        <w:rPr>
          <w:rFonts w:ascii="游ゴシック" w:cs="游ゴシック" w:eastAsia="游ゴシック" w:hAnsi="游ゴシック"/>
          <w:b/>
          <w:bCs/>
          <w:sz w:val="28"/>
          <w:szCs w:val="28"/>
        </w:rPr>
        <w:t xml:space="preserve">5. プロカルシトニン（PCT）の解釈：培養陰性でもPCT陽性となる臨床的意義</w:t>
      </w:r>
    </w:p>
    <w:p>
      <w:pPr>
        <w:pStyle w:val="Heading3"/>
        <w:spacing w:after="120" w:before="240"/>
      </w:pPr>
      <w:r>
        <w:rPr>
          <w:rFonts w:ascii="游ゴシック" w:cs="游ゴシック" w:eastAsia="游ゴシック" w:hAnsi="游ゴシック"/>
          <w:b/>
          <w:bCs/>
          <w:sz w:val="24"/>
          <w:szCs w:val="24"/>
        </w:rPr>
        <w:t xml:space="preserve">5-1. PCTの基本的特性</w:t>
      </w:r>
    </w:p>
    <w:p>
      <w:pPr>
        <w:spacing w:after="100" w:before="100"/>
      </w:pPr>
      <w:r>
        <w:rPr>
          <w:rFonts w:ascii="游明朝" w:cs="游明朝" w:eastAsia="游明朝" w:hAnsi="游明朝"/>
          <w:sz w:val="24"/>
          <w:szCs w:val="24"/>
        </w:rPr>
        <w:t xml:space="preserve">PCTは細菌感染に対する全身性炎症反応のバイオマーカーであり、特にグラム陰性菌による菌血症で高値となる。</w:t>
      </w:r>
    </w:p>
    <w:p>
      <w:pPr>
        <w:pStyle w:val="Heading3"/>
        <w:spacing w:after="120" w:before="240"/>
      </w:pPr>
      <w:r>
        <w:rPr>
          <w:rFonts w:ascii="游ゴシック" w:cs="游ゴシック" w:eastAsia="游ゴシック" w:hAnsi="游ゴシック"/>
          <w:b/>
          <w:bCs/>
          <w:sz w:val="24"/>
          <w:szCs w:val="24"/>
        </w:rPr>
        <w:t xml:space="preserve">5-2. UTIにおけるPCTのエビデンス</w:t>
      </w:r>
    </w:p>
    <w:p>
      <w:pPr>
        <w:spacing w:after="100" w:before="100"/>
      </w:pPr>
      <w:r>
        <w:rPr>
          <w:rFonts w:ascii="游明朝" w:cs="游明朝" w:eastAsia="游明朝" w:hAnsi="游明朝"/>
          <w:b/>
          <w:bCs/>
          <w:sz w:val="24"/>
          <w:szCs w:val="24"/>
        </w:rPr>
        <w:t xml:space="preserve">van Nieuwkoop C et al.（2010; PMID: 21083886）</w:t>
      </w:r>
      <w:r>
        <w:rPr>
          <w:rFonts w:ascii="游明朝" w:cs="游明朝" w:eastAsia="游明朝" w:hAnsi="游明朝"/>
          <w:sz w:val="24"/>
          <w:szCs w:val="24"/>
        </w:rPr>
        <w:t xml:space="preserve"> の多施設前向き研究（581名の発熱性UTI）【エビデンスレベル: 多施設前向きコホート研究】：</w:t>
      </w:r>
    </w:p>
    <w:p>
      <w:pPr>
        <w:pStyle w:val="ListParagraph"/>
        <w:numPr>
          <w:ilvl w:val="0"/>
          <w:numId w:val="2"/>
        </w:numPr>
        <w:spacing w:after="60" w:before="60"/>
      </w:pPr>
      <w:r>
        <w:rPr>
          <w:rFonts w:ascii="游明朝" w:cs="游明朝" w:eastAsia="游明朝" w:hAnsi="游明朝"/>
          <w:sz w:val="24"/>
          <w:szCs w:val="24"/>
        </w:rPr>
        <w:t xml:space="preserve">PCT &gt; 0.25 μg/Lで菌血症検出の</w:t>
      </w:r>
      <w:r>
        <w:rPr>
          <w:rFonts w:ascii="游明朝" w:cs="游明朝" w:eastAsia="游明朝" w:hAnsi="游明朝"/>
          <w:b/>
          <w:bCs/>
          <w:sz w:val="24"/>
          <w:szCs w:val="24"/>
        </w:rPr>
        <w:t xml:space="preserve">感度 0.95</w:t>
      </w:r>
      <w:r>
        <w:rPr>
          <w:rFonts w:ascii="游明朝" w:cs="游明朝" w:eastAsia="游明朝" w:hAnsi="游明朝"/>
          <w:sz w:val="24"/>
          <w:szCs w:val="24"/>
        </w:rPr>
        <w:t xml:space="preserve">、</w:t>
      </w:r>
      <w:r>
        <w:rPr>
          <w:rFonts w:ascii="游明朝" w:cs="游明朝" w:eastAsia="游明朝" w:hAnsi="游明朝"/>
          <w:b/>
          <w:bCs/>
          <w:sz w:val="24"/>
          <w:szCs w:val="24"/>
        </w:rPr>
        <w:t xml:space="preserve">特異度 0.50</w:t>
      </w:r>
    </w:p>
    <w:p>
      <w:pPr>
        <w:pStyle w:val="ListParagraph"/>
        <w:numPr>
          <w:ilvl w:val="0"/>
          <w:numId w:val="2"/>
        </w:numPr>
        <w:spacing w:after="60" w:before="60"/>
      </w:pPr>
      <w:r>
        <w:rPr>
          <w:rFonts w:ascii="游明朝" w:cs="游明朝" w:eastAsia="游明朝" w:hAnsi="游明朝"/>
          <w:sz w:val="24"/>
          <w:szCs w:val="24"/>
        </w:rPr>
        <w:t xml:space="preserve">PCTは菌血症の存在と菌量（bacterial load）を反映</w:t>
      </w:r>
    </w:p>
    <w:p>
      <w:pPr>
        <w:pStyle w:val="ListParagraph"/>
        <w:numPr>
          <w:ilvl w:val="0"/>
          <w:numId w:val="2"/>
        </w:numPr>
        <w:spacing w:after="60" w:before="60"/>
      </w:pPr>
      <w:r>
        <w:rPr>
          <w:rFonts w:ascii="游明朝" w:cs="游明朝" w:eastAsia="游明朝" w:hAnsi="游明朝"/>
          <w:b/>
          <w:bCs/>
          <w:sz w:val="24"/>
          <w:szCs w:val="24"/>
        </w:rPr>
        <w:t xml:space="preserve">重要な知見</w:t>
      </w:r>
      <w:r>
        <w:rPr>
          <w:rFonts w:ascii="游明朝" w:cs="游明朝" w:eastAsia="游明朝" w:hAnsi="游明朝"/>
          <w:sz w:val="24"/>
          <w:szCs w:val="24"/>
        </w:rPr>
        <w:t xml:space="preserve">: PCT陽性は「全身性の細菌感染が存在する」ことを示唆するが、「培養陽性」を必ずしも意味しない</w:t>
      </w:r>
    </w:p>
    <w:p>
      <w:pPr>
        <w:spacing w:after="100" w:before="100"/>
      </w:pPr>
      <w:r>
        <w:rPr>
          <w:rFonts w:ascii="游明朝" w:cs="游明朝" w:eastAsia="游明朝" w:hAnsi="游明朝"/>
          <w:b/>
          <w:bCs/>
          <w:sz w:val="24"/>
          <w:szCs w:val="24"/>
        </w:rPr>
        <w:t xml:space="preserve">Choi JJ et al.（2022; PMID: 34997392）</w:t>
      </w:r>
      <w:r>
        <w:rPr>
          <w:rFonts w:ascii="游明朝" w:cs="游明朝" w:eastAsia="游明朝" w:hAnsi="游明朝"/>
          <w:sz w:val="24"/>
          <w:szCs w:val="24"/>
        </w:rPr>
        <w:t xml:space="preserve"> の前向き研究（65歳以上の入院患者229名）【エビデンスレベル: 前向きコホート研究】：</w:t>
      </w:r>
    </w:p>
    <w:p>
      <w:pPr>
        <w:pStyle w:val="ListParagraph"/>
        <w:numPr>
          <w:ilvl w:val="0"/>
          <w:numId w:val="2"/>
        </w:numPr>
        <w:spacing w:after="60" w:before="60"/>
      </w:pPr>
      <w:r>
        <w:rPr>
          <w:rFonts w:ascii="游明朝" w:cs="游明朝" w:eastAsia="游明朝" w:hAnsi="游明朝"/>
          <w:sz w:val="24"/>
          <w:szCs w:val="24"/>
        </w:rPr>
        <w:t xml:space="preserve">UTI診断に対するPCTのAUCは</w:t>
      </w:r>
      <w:r>
        <w:rPr>
          <w:rFonts w:ascii="游明朝" w:cs="游明朝" w:eastAsia="游明朝" w:hAnsi="游明朝"/>
          <w:b/>
          <w:bCs/>
          <w:sz w:val="24"/>
          <w:szCs w:val="24"/>
        </w:rPr>
        <w:t xml:space="preserve">0.56</w:t>
      </w:r>
      <w:r>
        <w:rPr>
          <w:rFonts w:ascii="游明朝" w:cs="游明朝" w:eastAsia="游明朝" w:hAnsi="游明朝"/>
          <w:sz w:val="24"/>
          <w:szCs w:val="24"/>
        </w:rPr>
        <w:t xml:space="preserve">と低値</w:t>
      </w:r>
    </w:p>
    <w:p>
      <w:pPr>
        <w:pStyle w:val="ListParagraph"/>
        <w:numPr>
          <w:ilvl w:val="0"/>
          <w:numId w:val="2"/>
        </w:numPr>
        <w:spacing w:after="60" w:before="60"/>
      </w:pPr>
      <w:r>
        <w:rPr>
          <w:rFonts w:ascii="游明朝" w:cs="游明朝" w:eastAsia="游明朝" w:hAnsi="游明朝"/>
          <w:sz w:val="24"/>
          <w:szCs w:val="24"/>
        </w:rPr>
        <w:t xml:space="preserve">高齢入院患者ではPCT単独でのUTI診断は困難</w:t>
      </w:r>
    </w:p>
    <w:p>
      <w:pPr>
        <w:pStyle w:val="ListParagraph"/>
        <w:numPr>
          <w:ilvl w:val="0"/>
          <w:numId w:val="2"/>
        </w:numPr>
        <w:spacing w:after="60" w:before="60"/>
      </w:pPr>
      <w:r>
        <w:rPr>
          <w:rFonts w:ascii="游明朝" w:cs="游明朝" w:eastAsia="游明朝" w:hAnsi="游明朝"/>
          <w:sz w:val="24"/>
          <w:szCs w:val="24"/>
        </w:rPr>
        <w:t xml:space="preserve">ただし、これは「PCT陽性＝UTI」の診断精度であり、「PCT陽性＝細菌感染」の意義を否定するものではない</w:t>
      </w:r>
    </w:p>
    <w:p>
      <w:pPr>
        <w:spacing w:after="100" w:before="100"/>
      </w:pPr>
      <w:r>
        <w:rPr>
          <w:rFonts w:ascii="游明朝" w:cs="游明朝" w:eastAsia="游明朝" w:hAnsi="游明朝"/>
          <w:b/>
          <w:bCs/>
          <w:sz w:val="24"/>
          <w:szCs w:val="24"/>
        </w:rPr>
        <w:t xml:space="preserve">Rothe K et al.（2020; PMID: 33091046）</w:t>
      </w:r>
      <w:r>
        <w:rPr>
          <w:rFonts w:ascii="游明朝" w:cs="游明朝" w:eastAsia="游明朝" w:hAnsi="游明朝"/>
          <w:sz w:val="24"/>
          <w:szCs w:val="24"/>
        </w:rPr>
        <w:t xml:space="preserve"> の「Triple F」アルゴリズム研究（183名のED患者）【エビデンスレベル: 横断研究】：</w:t>
      </w:r>
    </w:p>
    <w:p>
      <w:pPr>
        <w:pStyle w:val="ListParagraph"/>
        <w:numPr>
          <w:ilvl w:val="0"/>
          <w:numId w:val="2"/>
        </w:numPr>
        <w:spacing w:after="60" w:before="60"/>
      </w:pPr>
      <w:r>
        <w:rPr>
          <w:rFonts w:ascii="游明朝" w:cs="游明朝" w:eastAsia="游明朝" w:hAnsi="游明朝"/>
          <w:b/>
          <w:bCs/>
          <w:sz w:val="24"/>
          <w:szCs w:val="24"/>
        </w:rPr>
        <w:t xml:space="preserve">Fever（発熱）+ Failure（臓器障害）+ Focus（感染巣）</w:t>
      </w:r>
      <w:r>
        <w:rPr>
          <w:rFonts w:ascii="游明朝" w:cs="游明朝" w:eastAsia="游明朝" w:hAnsi="游明朝"/>
          <w:sz w:val="24"/>
          <w:szCs w:val="24"/>
        </w:rPr>
        <w:t xml:space="preserve"> にPCTを組み合わせ</w:t>
      </w:r>
    </w:p>
    <w:p>
      <w:pPr>
        <w:pStyle w:val="ListParagraph"/>
        <w:numPr>
          <w:ilvl w:val="0"/>
          <w:numId w:val="2"/>
        </w:numPr>
        <w:spacing w:after="60" w:before="60"/>
      </w:pPr>
      <w:r>
        <w:rPr>
          <w:rFonts w:ascii="游明朝" w:cs="游明朝" w:eastAsia="游明朝" w:hAnsi="游明朝"/>
          <w:sz w:val="24"/>
          <w:szCs w:val="24"/>
        </w:rPr>
        <w:t xml:space="preserve">菌血症UTIの54.5%が泌尿器症状なし（非典型的プレゼンテーション）</w:t>
      </w:r>
    </w:p>
    <w:p>
      <w:pPr>
        <w:pStyle w:val="ListParagraph"/>
        <w:numPr>
          <w:ilvl w:val="0"/>
          <w:numId w:val="2"/>
        </w:numPr>
        <w:spacing w:after="60" w:before="60"/>
      </w:pPr>
      <w:r>
        <w:rPr>
          <w:rFonts w:ascii="游明朝" w:cs="游明朝" w:eastAsia="游明朝" w:hAnsi="游明朝"/>
          <w:sz w:val="24"/>
          <w:szCs w:val="24"/>
        </w:rPr>
        <w:t xml:space="preserve">PCT &lt; 0.25 μg/Lの場合、菌血症に対する</w:t>
      </w:r>
      <w:r>
        <w:rPr>
          <w:rFonts w:ascii="游明朝" w:cs="游明朝" w:eastAsia="游明朝" w:hAnsi="游明朝"/>
          <w:b/>
          <w:bCs/>
          <w:sz w:val="24"/>
          <w:szCs w:val="24"/>
        </w:rPr>
        <w:t xml:space="preserve">陰性的中率（NPV）88.7%</w:t>
      </w:r>
    </w:p>
    <w:p>
      <w:pPr>
        <w:pStyle w:val="Heading3"/>
        <w:spacing w:after="120" w:before="240"/>
      </w:pPr>
      <w:r>
        <w:rPr>
          <w:rFonts w:ascii="游ゴシック" w:cs="游ゴシック" w:eastAsia="游ゴシック" w:hAnsi="游ゴシック"/>
          <w:b/>
          <w:bCs/>
          <w:sz w:val="24"/>
          <w:szCs w:val="24"/>
        </w:rPr>
        <w:t xml:space="preserve">5-3. 本症例における解釈</w:t>
      </w:r>
    </w:p>
    <w:p>
      <w:pPr>
        <w:spacing w:after="100" w:before="100"/>
      </w:pPr>
      <w:r>
        <w:rPr>
          <w:rFonts w:ascii="游明朝" w:cs="游明朝" w:eastAsia="游明朝" w:hAnsi="游明朝"/>
          <w:sz w:val="24"/>
          <w:szCs w:val="24"/>
        </w:rPr>
        <w:t xml:space="preserve">PCT陽性は、培養結果にかかわらず</w:t>
      </w:r>
      <w:r>
        <w:rPr>
          <w:rFonts w:ascii="游明朝" w:cs="游明朝" w:eastAsia="游明朝" w:hAnsi="游明朝"/>
          <w:b/>
          <w:bCs/>
          <w:sz w:val="24"/>
          <w:szCs w:val="24"/>
        </w:rPr>
        <w:t xml:space="preserve">全身性の細菌性炎症が存在した</w:t>
      </w:r>
      <w:r>
        <w:rPr>
          <w:rFonts w:ascii="游明朝" w:cs="游明朝" w:eastAsia="游明朝" w:hAnsi="游明朝"/>
          <w:sz w:val="24"/>
          <w:szCs w:val="24"/>
        </w:rPr>
        <w:t xml:space="preserve">ことを支持する。培養陰性の理由として、事前抗菌薬投与、培養法の限界、免疫抑制下の低菌量感染などが考えられ、PCT陽性所見は培養の偽陰性を示唆する重要な間接的エビデンスとなる。</w:t>
      </w:r>
    </w:p>
    <w:p>
      <w:pPr>
        <w:spacing w:after="300" w:before="300"/>
      </w:pPr>
    </w:p>
    <w:p>
      <w:pPr>
        <w:pStyle w:val="Heading2"/>
        <w:spacing w:after="160" w:before="300"/>
      </w:pPr>
      <w:r>
        <w:rPr>
          <w:rFonts w:ascii="游ゴシック" w:cs="游ゴシック" w:eastAsia="游ゴシック" w:hAnsi="游ゴシック"/>
          <w:b/>
          <w:bCs/>
          <w:sz w:val="28"/>
          <w:szCs w:val="28"/>
        </w:rPr>
        <w:t xml:space="preserve">6. 分子診断法の進歩（PCR, NGS, tNGS）</w:t>
      </w:r>
    </w:p>
    <w:p>
      <w:pPr>
        <w:spacing w:after="100" w:before="100"/>
      </w:pPr>
      <w:r>
        <w:rPr>
          <w:rFonts w:ascii="游明朝" w:cs="游明朝" w:eastAsia="游明朝" w:hAnsi="游明朝"/>
          <w:sz w:val="24"/>
          <w:szCs w:val="24"/>
        </w:rPr>
        <w:t xml:space="preserve">従来培養法の限界を克服するための分子診断法が急速に発展している。</w:t>
      </w:r>
    </w:p>
    <w:p>
      <w:pPr>
        <w:pStyle w:val="Heading3"/>
        <w:spacing w:after="120" w:before="240"/>
      </w:pPr>
      <w:r>
        <w:rPr>
          <w:rFonts w:ascii="游ゴシック" w:cs="游ゴシック" w:eastAsia="游ゴシック" w:hAnsi="游ゴシック"/>
          <w:b/>
          <w:bCs/>
          <w:sz w:val="24"/>
          <w:szCs w:val="24"/>
        </w:rPr>
        <w:t xml:space="preserve">6-1. PCR（ポリメラーゼ連鎖反応）</w:t>
      </w:r>
    </w:p>
    <w:p>
      <w:pPr>
        <w:spacing w:after="100" w:before="100"/>
      </w:pPr>
      <w:r>
        <w:rPr>
          <w:rFonts w:ascii="游明朝" w:cs="游明朝" w:eastAsia="游明朝" w:hAnsi="游明朝"/>
          <w:b/>
          <w:bCs/>
          <w:sz w:val="24"/>
          <w:szCs w:val="24"/>
        </w:rPr>
        <w:t xml:space="preserve">Zhao M et al.（2024; PMID: 38584848）</w:t>
      </w:r>
      <w:r>
        <w:rPr>
          <w:rFonts w:ascii="游明朝" w:cs="游明朝" w:eastAsia="游明朝" w:hAnsi="游明朝"/>
          <w:sz w:val="24"/>
          <w:szCs w:val="24"/>
        </w:rPr>
        <w:t xml:space="preserve"> のメタアナリシス（10研究、1,291例）【エビデンスレベル: メタアナリシス】：</w:t>
      </w:r>
    </w:p>
    <w:p>
      <w:pPr>
        <w:pStyle w:val="ListParagraph"/>
        <w:numPr>
          <w:ilvl w:val="0"/>
          <w:numId w:val="2"/>
        </w:numPr>
        <w:spacing w:after="60" w:before="60"/>
      </w:pPr>
      <w:r>
        <w:rPr>
          <w:rFonts w:ascii="游明朝" w:cs="游明朝" w:eastAsia="游明朝" w:hAnsi="游明朝"/>
          <w:sz w:val="24"/>
          <w:szCs w:val="24"/>
        </w:rPr>
        <w:t xml:space="preserve">PCRの</w:t>
      </w:r>
      <w:r>
        <w:rPr>
          <w:rFonts w:ascii="游明朝" w:cs="游明朝" w:eastAsia="游明朝" w:hAnsi="游明朝"/>
          <w:b/>
          <w:bCs/>
          <w:sz w:val="24"/>
          <w:szCs w:val="24"/>
        </w:rPr>
        <w:t xml:space="preserve">感度 99%</w:t>
      </w:r>
      <w:r>
        <w:rPr>
          <w:rFonts w:ascii="游明朝" w:cs="游明朝" w:eastAsia="游明朝" w:hAnsi="游明朝"/>
          <w:sz w:val="24"/>
          <w:szCs w:val="24"/>
        </w:rPr>
        <w:t xml:space="preserve">、</w:t>
      </w:r>
      <w:r>
        <w:rPr>
          <w:rFonts w:ascii="游明朝" w:cs="游明朝" w:eastAsia="游明朝" w:hAnsi="游明朝"/>
          <w:b/>
          <w:bCs/>
          <w:sz w:val="24"/>
          <w:szCs w:val="24"/>
        </w:rPr>
        <w:t xml:space="preserve">特異度 94%</w:t>
      </w:r>
    </w:p>
    <w:p>
      <w:pPr>
        <w:pStyle w:val="ListParagraph"/>
        <w:numPr>
          <w:ilvl w:val="0"/>
          <w:numId w:val="2"/>
        </w:numPr>
        <w:spacing w:after="60" w:before="60"/>
      </w:pPr>
      <w:r>
        <w:rPr>
          <w:rFonts w:ascii="游明朝" w:cs="游明朝" w:eastAsia="游明朝" w:hAnsi="游明朝"/>
          <w:sz w:val="24"/>
          <w:szCs w:val="24"/>
        </w:rPr>
        <w:t xml:space="preserve">特定の病原体（Chlamydia, Mycoplasma, BKウイルス等）に対する標的PCRは高い診断精度を有する</w:t>
      </w:r>
    </w:p>
    <w:p>
      <w:pPr>
        <w:pStyle w:val="ListParagraph"/>
        <w:numPr>
          <w:ilvl w:val="0"/>
          <w:numId w:val="2"/>
        </w:numPr>
        <w:spacing w:after="60" w:before="60"/>
      </w:pPr>
      <w:r>
        <w:rPr>
          <w:rFonts w:ascii="游明朝" w:cs="游明朝" w:eastAsia="游明朝" w:hAnsi="游明朝"/>
          <w:sz w:val="24"/>
          <w:szCs w:val="24"/>
        </w:rPr>
        <w:t xml:space="preserve">陽性尤度比（LR+）: 約16.5、陰性尤度比（LR−）: 約0.01</w:t>
      </w:r>
    </w:p>
    <w:p>
      <w:pPr>
        <w:pStyle w:val="Heading3"/>
        <w:spacing w:after="120" w:before="240"/>
      </w:pPr>
      <w:r>
        <w:rPr>
          <w:rFonts w:ascii="游ゴシック" w:cs="游ゴシック" w:eastAsia="游ゴシック" w:hAnsi="游ゴシック"/>
          <w:b/>
          <w:bCs/>
          <w:sz w:val="24"/>
          <w:szCs w:val="24"/>
        </w:rPr>
        <w:t xml:space="preserve">6-2. 次世代シーケンシング（NGS）</w:t>
      </w:r>
    </w:p>
    <w:p>
      <w:pPr>
        <w:spacing w:after="100" w:before="100"/>
      </w:pPr>
      <w:r>
        <w:rPr>
          <w:rFonts w:ascii="游明朝" w:cs="游明朝" w:eastAsia="游明朝" w:hAnsi="游明朝"/>
          <w:sz w:val="24"/>
          <w:szCs w:val="24"/>
        </w:rPr>
        <w:t xml:space="preserve">同メタアナリシスより（Zhao M et al., 2024; PMID: 38584848）：</w:t>
      </w:r>
    </w:p>
    <w:p>
      <w:pPr>
        <w:pStyle w:val="ListParagraph"/>
        <w:numPr>
          <w:ilvl w:val="0"/>
          <w:numId w:val="2"/>
        </w:numPr>
        <w:spacing w:after="60" w:before="60"/>
      </w:pPr>
      <w:r>
        <w:rPr>
          <w:rFonts w:ascii="游明朝" w:cs="游明朝" w:eastAsia="游明朝" w:hAnsi="游明朝"/>
          <w:sz w:val="24"/>
          <w:szCs w:val="24"/>
        </w:rPr>
        <w:t xml:space="preserve">NGSの</w:t>
      </w:r>
      <w:r>
        <w:rPr>
          <w:rFonts w:ascii="游明朝" w:cs="游明朝" w:eastAsia="游明朝" w:hAnsi="游明朝"/>
          <w:b/>
          <w:bCs/>
          <w:sz w:val="24"/>
          <w:szCs w:val="24"/>
        </w:rPr>
        <w:t xml:space="preserve">感度 90%</w:t>
      </w:r>
      <w:r>
        <w:rPr>
          <w:rFonts w:ascii="游明朝" w:cs="游明朝" w:eastAsia="游明朝" w:hAnsi="游明朝"/>
          <w:sz w:val="24"/>
          <w:szCs w:val="24"/>
        </w:rPr>
        <w:t xml:space="preserve">、</w:t>
      </w:r>
      <w:r>
        <w:rPr>
          <w:rFonts w:ascii="游明朝" w:cs="游明朝" w:eastAsia="游明朝" w:hAnsi="游明朝"/>
          <w:b/>
          <w:bCs/>
          <w:sz w:val="24"/>
          <w:szCs w:val="24"/>
        </w:rPr>
        <w:t xml:space="preserve">特異度 86%</w:t>
      </w:r>
    </w:p>
    <w:p>
      <w:pPr>
        <w:pStyle w:val="ListParagraph"/>
        <w:numPr>
          <w:ilvl w:val="0"/>
          <w:numId w:val="2"/>
        </w:numPr>
        <w:spacing w:after="60" w:before="60"/>
      </w:pPr>
      <w:r>
        <w:rPr>
          <w:rFonts w:ascii="游明朝" w:cs="游明朝" w:eastAsia="游明朝" w:hAnsi="游明朝"/>
          <w:sz w:val="24"/>
          <w:szCs w:val="24"/>
        </w:rPr>
        <w:t xml:space="preserve">網羅的な病原体検出が可能（未知の病原体も含む）</w:t>
      </w:r>
    </w:p>
    <w:p>
      <w:pPr>
        <w:pStyle w:val="ListParagraph"/>
        <w:numPr>
          <w:ilvl w:val="0"/>
          <w:numId w:val="2"/>
        </w:numPr>
        <w:spacing w:after="60" w:before="60"/>
      </w:pPr>
      <w:r>
        <w:rPr>
          <w:rFonts w:ascii="游明朝" w:cs="游明朝" w:eastAsia="游明朝" w:hAnsi="游明朝"/>
          <w:sz w:val="24"/>
          <w:szCs w:val="24"/>
        </w:rPr>
        <w:t xml:space="preserve">陽性尤度比（LR+）: 約6.4、陰性尤度比（LR−）: 約0.12</w:t>
      </w:r>
    </w:p>
    <w:p>
      <w:pPr>
        <w:pStyle w:val="Heading3"/>
        <w:spacing w:after="120" w:before="240"/>
      </w:pPr>
      <w:r>
        <w:rPr>
          <w:rFonts w:ascii="游ゴシック" w:cs="游ゴシック" w:eastAsia="游ゴシック" w:hAnsi="游ゴシック"/>
          <w:b/>
          <w:bCs/>
          <w:sz w:val="24"/>
          <w:szCs w:val="24"/>
        </w:rPr>
        <w:t xml:space="preserve">6-3. 標的次世代シーケンシング（tNGS）</w:t>
      </w:r>
    </w:p>
    <w:p>
      <w:pPr>
        <w:spacing w:after="100" w:before="100"/>
      </w:pPr>
      <w:r>
        <w:rPr>
          <w:rFonts w:ascii="游明朝" w:cs="游明朝" w:eastAsia="游明朝" w:hAnsi="游明朝"/>
          <w:b/>
          <w:bCs/>
          <w:sz w:val="24"/>
          <w:szCs w:val="24"/>
        </w:rPr>
        <w:t xml:space="preserve">Chang Z et al.（2025; PMID: 40058503）</w:t>
      </w:r>
      <w:r>
        <w:rPr>
          <w:rFonts w:ascii="游明朝" w:cs="游明朝" w:eastAsia="游明朝" w:hAnsi="游明朝"/>
          <w:sz w:val="24"/>
          <w:szCs w:val="24"/>
        </w:rPr>
        <w:t xml:space="preserve"> の多施設比較研究【エビデンスレベル: 多施設比較研究】：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指標</w:t>
            </w:r>
          </w:p>
        </w:tc>
        <w:tc>
          <w:tcPr>
            <w:tcW w:type="dxa" w:w="2256"/>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tNGS</w:t>
            </w:r>
          </w:p>
        </w:tc>
        <w:tc>
          <w:tcPr>
            <w:tcW w:type="dxa" w:w="2256"/>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mNGS</w:t>
            </w:r>
          </w:p>
        </w:tc>
        <w:tc>
          <w:tcPr>
            <w:tcW w:type="dxa" w:w="2258"/>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従来培養</w:t>
            </w:r>
          </w:p>
        </w:tc>
      </w:tr>
      <w:tr>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培養陽性検体との一致率</w:t>
            </w:r>
          </w:p>
        </w:tc>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96.5%</w:t>
            </w:r>
          </w:p>
        </w:tc>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w:t>
            </w:r>
          </w:p>
        </w:tc>
        <w:tc>
          <w:tcPr>
            <w:tcW w:type="dxa" w:w="225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(基準)</w:t>
            </w:r>
          </w:p>
        </w:tc>
      </w:tr>
      <w:tr>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培養陰性検体からの病原体検出率</w:t>
            </w:r>
          </w:p>
        </w:tc>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53.1%</w:t>
            </w:r>
          </w:p>
        </w:tc>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28.1%</w:t>
            </w:r>
          </w:p>
        </w:tc>
        <w:tc>
          <w:tcPr>
            <w:tcW w:type="dxa" w:w="225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0%</w:t>
            </w:r>
          </w:p>
        </w:tc>
      </w:tr>
      <w:tr>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多菌感染の検出率</w:t>
            </w:r>
          </w:p>
        </w:tc>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55.4%</w:t>
            </w:r>
          </w:p>
        </w:tc>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w:t>
            </w:r>
          </w:p>
        </w:tc>
        <w:tc>
          <w:tcPr>
            <w:tcW w:type="dxa" w:w="225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0%</w:t>
            </w:r>
          </w:p>
        </w:tc>
      </w:tr>
      <w:tr>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結果までの所要時間</w:t>
            </w:r>
          </w:p>
        </w:tc>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12.89時間</w:t>
            </w:r>
          </w:p>
        </w:tc>
        <w:tc>
          <w:tcPr>
            <w:tcW w:type="dxa" w:w="2256"/>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w:t>
            </w:r>
          </w:p>
        </w:tc>
        <w:tc>
          <w:tcPr>
            <w:tcW w:type="dxa" w:w="225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61.48時間</w:t>
            </w:r>
          </w:p>
        </w:tc>
      </w:tr>
    </w:tbl>
    <w:p>
      <w:pPr>
        <w:spacing w:after="100" w:before="100"/>
      </w:pPr>
    </w:p>
    <w:p>
      <w:pPr>
        <w:pStyle w:val="ListParagraph"/>
        <w:numPr>
          <w:ilvl w:val="0"/>
          <w:numId w:val="2"/>
        </w:numPr>
        <w:spacing w:after="60" w:before="60"/>
      </w:pPr>
      <w:r>
        <w:rPr>
          <w:rFonts w:ascii="游明朝" w:cs="游明朝" w:eastAsia="游明朝" w:hAnsi="游明朝"/>
          <w:sz w:val="24"/>
          <w:szCs w:val="24"/>
        </w:rPr>
        <w:t xml:space="preserve">Ureaplasma parvum、Candida tropicalisなどの難培養菌を検出</w:t>
      </w:r>
    </w:p>
    <w:p>
      <w:pPr>
        <w:pStyle w:val="ListParagraph"/>
        <w:numPr>
          <w:ilvl w:val="0"/>
          <w:numId w:val="2"/>
        </w:numPr>
        <w:spacing w:after="60" w:before="60"/>
      </w:pPr>
      <w:r>
        <w:rPr>
          <w:rFonts w:ascii="游明朝" w:cs="游明朝" w:eastAsia="游明朝" w:hAnsi="游明朝"/>
          <w:sz w:val="24"/>
          <w:szCs w:val="24"/>
        </w:rPr>
        <w:t xml:space="preserve">tNGSはmNGSより高い検出感度と短い所要時間を実現</w:t>
      </w:r>
    </w:p>
    <w:p>
      <w:pPr>
        <w:pStyle w:val="Heading3"/>
        <w:spacing w:after="120" w:before="240"/>
      </w:pPr>
      <w:r>
        <w:rPr>
          <w:rFonts w:ascii="游ゴシック" w:cs="游ゴシック" w:eastAsia="游ゴシック" w:hAnsi="游ゴシック"/>
          <w:b/>
          <w:bCs/>
          <w:sz w:val="24"/>
          <w:szCs w:val="24"/>
        </w:rPr>
        <w:t xml:space="preserve">6-4. 分子診断法の臨床的意義</w:t>
      </w:r>
    </w:p>
    <w:p>
      <w:pPr>
        <w:spacing w:after="100" w:before="100"/>
      </w:pPr>
      <w:r>
        <w:rPr>
          <w:rFonts w:ascii="游明朝" w:cs="游明朝" w:eastAsia="游明朝" w:hAnsi="游明朝"/>
          <w:sz w:val="24"/>
          <w:szCs w:val="24"/>
        </w:rPr>
        <w:t xml:space="preserve">Fritzenwanker M et al.（2016; PMID: 27624932）は、フローサイトメトリー、質量分析（MALDI-TOF MS）、核酸ベース技術、バイオセンサーなど多様な最新技術をレビューし、「従来培養の閾値（10⁵ CFU/mL）に依存した診断から、分子診断を統合した多角的アプローチへの移行」の必要性を提唱している【エビデンスレベル: ナラティブレビュー】。</w:t>
      </w:r>
    </w:p>
    <w:p>
      <w:pPr>
        <w:spacing w:after="300" w:before="300"/>
      </w:pPr>
    </w:p>
    <w:p>
      <w:pPr>
        <w:pStyle w:val="Heading2"/>
        <w:spacing w:after="160" w:before="300"/>
      </w:pPr>
      <w:r>
        <w:rPr>
          <w:rFonts w:ascii="游ゴシック" w:cs="游ゴシック" w:eastAsia="游ゴシック" w:hAnsi="游ゴシック"/>
          <w:b/>
          <w:bCs/>
          <w:sz w:val="28"/>
          <w:szCs w:val="28"/>
        </w:rPr>
        <w:t xml:space="preserve">7. 免疫抑制患者における尿路感染症の特殊性</w:t>
      </w:r>
    </w:p>
    <w:p>
      <w:pPr>
        <w:spacing w:after="100" w:before="100"/>
      </w:pPr>
      <w:r>
        <w:rPr>
          <w:rFonts w:ascii="游明朝" w:cs="游明朝" w:eastAsia="游明朝" w:hAnsi="游明朝"/>
          <w:sz w:val="24"/>
          <w:szCs w:val="24"/>
        </w:rPr>
        <w:t xml:space="preserve">免疫抑制患者（本症例：多発性筋炎に対する免疫抑制療法中）では、UTIの診断・治療において以下の点に留意が必要である：</w:t>
      </w:r>
    </w:p>
    <w:p>
      <w:pPr>
        <w:pStyle w:val="Heading3"/>
        <w:spacing w:after="120" w:before="240"/>
      </w:pPr>
      <w:r>
        <w:rPr>
          <w:rFonts w:ascii="游ゴシック" w:cs="游ゴシック" w:eastAsia="游ゴシック" w:hAnsi="游ゴシック"/>
          <w:b/>
          <w:bCs/>
          <w:sz w:val="24"/>
          <w:szCs w:val="24"/>
        </w:rPr>
        <w:t xml:space="preserve">7-1. 起炎菌スペクトラムの変化</w:t>
      </w:r>
    </w:p>
    <w:p>
      <w:pPr>
        <w:pStyle w:val="ListParagraph"/>
        <w:numPr>
          <w:ilvl w:val="0"/>
          <w:numId w:val="2"/>
        </w:numPr>
        <w:spacing w:after="60" w:before="60"/>
      </w:pPr>
      <w:r>
        <w:rPr>
          <w:rFonts w:ascii="游明朝" w:cs="游明朝" w:eastAsia="游明朝" w:hAnsi="游明朝"/>
          <w:sz w:val="24"/>
          <w:szCs w:val="24"/>
        </w:rPr>
        <w:t xml:space="preserve">市中感染型の典型的起炎菌（E. coli）に加え、</w:t>
      </w:r>
      <w:r>
        <w:rPr>
          <w:rFonts w:ascii="游明朝" w:cs="游明朝" w:eastAsia="游明朝" w:hAnsi="游明朝"/>
          <w:b/>
          <w:bCs/>
          <w:sz w:val="24"/>
          <w:szCs w:val="24"/>
        </w:rPr>
        <w:t xml:space="preserve">耐性菌</w:t>
      </w:r>
      <w:r>
        <w:rPr>
          <w:rFonts w:ascii="游明朝" w:cs="游明朝" w:eastAsia="游明朝" w:hAnsi="游明朝"/>
          <w:sz w:val="24"/>
          <w:szCs w:val="24"/>
        </w:rPr>
        <w:t xml:space="preserve">（ESBL産生菌、Pseudomonas）、</w:t>
      </w:r>
      <w:r>
        <w:rPr>
          <w:rFonts w:ascii="游明朝" w:cs="游明朝" w:eastAsia="游明朝" w:hAnsi="游明朝"/>
          <w:b/>
          <w:bCs/>
          <w:sz w:val="24"/>
          <w:szCs w:val="24"/>
        </w:rPr>
        <w:t xml:space="preserve">真菌</w:t>
      </w:r>
      <w:r>
        <w:rPr>
          <w:rFonts w:ascii="游明朝" w:cs="游明朝" w:eastAsia="游明朝" w:hAnsi="游明朝"/>
          <w:sz w:val="24"/>
          <w:szCs w:val="24"/>
        </w:rPr>
        <w:t xml:space="preserve">（Candida spp.）、</w:t>
      </w:r>
      <w:r>
        <w:rPr>
          <w:rFonts w:ascii="游明朝" w:cs="游明朝" w:eastAsia="游明朝" w:hAnsi="游明朝"/>
          <w:b/>
          <w:bCs/>
          <w:sz w:val="24"/>
          <w:szCs w:val="24"/>
        </w:rPr>
        <w:t xml:space="preserve">ウイルス</w:t>
      </w:r>
      <w:r>
        <w:rPr>
          <w:rFonts w:ascii="游明朝" w:cs="游明朝" w:eastAsia="游明朝" w:hAnsi="游明朝"/>
          <w:sz w:val="24"/>
          <w:szCs w:val="24"/>
        </w:rPr>
        <w:t xml:space="preserve">（BKウイルス、CMV）の頻度が上昇</w:t>
      </w:r>
    </w:p>
    <w:p>
      <w:pPr>
        <w:pStyle w:val="ListParagraph"/>
        <w:numPr>
          <w:ilvl w:val="0"/>
          <w:numId w:val="2"/>
        </w:numPr>
        <w:spacing w:after="60" w:before="60"/>
      </w:pPr>
      <w:r>
        <w:rPr>
          <w:rFonts w:ascii="游明朝" w:cs="游明朝" w:eastAsia="游明朝" w:hAnsi="游明朝"/>
          <w:sz w:val="24"/>
          <w:szCs w:val="24"/>
        </w:rPr>
        <w:t xml:space="preserve">非定型病原体（Nocardia, 非結核性抗酸菌）も鑑別に含める必要がある</w:t>
      </w:r>
    </w:p>
    <w:p>
      <w:pPr>
        <w:pStyle w:val="Heading3"/>
        <w:spacing w:after="120" w:before="240"/>
      </w:pPr>
      <w:r>
        <w:rPr>
          <w:rFonts w:ascii="游ゴシック" w:cs="游ゴシック" w:eastAsia="游ゴシック" w:hAnsi="游ゴシック"/>
          <w:b/>
          <w:bCs/>
          <w:sz w:val="24"/>
          <w:szCs w:val="24"/>
        </w:rPr>
        <w:t xml:space="preserve">7-2. 臨床症状の修飾</w:t>
      </w:r>
    </w:p>
    <w:p>
      <w:pPr>
        <w:pStyle w:val="ListParagraph"/>
        <w:numPr>
          <w:ilvl w:val="0"/>
          <w:numId w:val="2"/>
        </w:numPr>
        <w:spacing w:after="60" w:before="60"/>
      </w:pPr>
      <w:r>
        <w:rPr>
          <w:rFonts w:ascii="游明朝" w:cs="游明朝" w:eastAsia="游明朝" w:hAnsi="游明朝"/>
          <w:sz w:val="24"/>
          <w:szCs w:val="24"/>
        </w:rPr>
        <w:t xml:space="preserve">免疫抑制下では典型的な炎症症状が</w:t>
      </w:r>
      <w:r>
        <w:rPr>
          <w:rFonts w:ascii="游明朝" w:cs="游明朝" w:eastAsia="游明朝" w:hAnsi="游明朝"/>
          <w:b/>
          <w:bCs/>
          <w:sz w:val="24"/>
          <w:szCs w:val="24"/>
        </w:rPr>
        <w:t xml:space="preserve">減弱</w:t>
      </w:r>
      <w:r>
        <w:rPr>
          <w:rFonts w:ascii="游明朝" w:cs="游明朝" w:eastAsia="游明朝" w:hAnsi="游明朝"/>
          <w:sz w:val="24"/>
          <w:szCs w:val="24"/>
        </w:rPr>
        <w:t xml:space="preserve">する場合がある</w:t>
      </w:r>
    </w:p>
    <w:p>
      <w:pPr>
        <w:pStyle w:val="ListParagraph"/>
        <w:numPr>
          <w:ilvl w:val="0"/>
          <w:numId w:val="2"/>
        </w:numPr>
        <w:spacing w:after="60" w:before="60"/>
      </w:pPr>
      <w:r>
        <w:rPr>
          <w:rFonts w:ascii="游明朝" w:cs="游明朝" w:eastAsia="游明朝" w:hAnsi="游明朝"/>
          <w:sz w:val="24"/>
          <w:szCs w:val="24"/>
        </w:rPr>
        <w:t xml:space="preserve">発熱のみの非特異的プレゼンテーションとなりやすい</w:t>
      </w:r>
    </w:p>
    <w:p>
      <w:pPr>
        <w:pStyle w:val="ListParagraph"/>
        <w:numPr>
          <w:ilvl w:val="0"/>
          <w:numId w:val="2"/>
        </w:numPr>
        <w:spacing w:after="60" w:before="60"/>
      </w:pPr>
      <w:r>
        <w:rPr>
          <w:rFonts w:ascii="游明朝" w:cs="游明朝" w:eastAsia="游明朝" w:hAnsi="游明朝"/>
          <w:sz w:val="24"/>
          <w:szCs w:val="24"/>
        </w:rPr>
        <w:t xml:space="preserve">Rothe K et al.（2020; PMID: 33091046）が示すように、菌血症UTIの54.5%が泌尿器症状を欠く</w:t>
      </w:r>
    </w:p>
    <w:p>
      <w:pPr>
        <w:pStyle w:val="Heading3"/>
        <w:spacing w:after="120" w:before="240"/>
      </w:pPr>
      <w:r>
        <w:rPr>
          <w:rFonts w:ascii="游ゴシック" w:cs="游ゴシック" w:eastAsia="游ゴシック" w:hAnsi="游ゴシック"/>
          <w:b/>
          <w:bCs/>
          <w:sz w:val="24"/>
          <w:szCs w:val="24"/>
        </w:rPr>
        <w:t xml:space="preserve">7-3. バイオマーカーの解釈の注意点</w:t>
      </w:r>
    </w:p>
    <w:p>
      <w:pPr>
        <w:pStyle w:val="ListParagraph"/>
        <w:numPr>
          <w:ilvl w:val="0"/>
          <w:numId w:val="2"/>
        </w:numPr>
        <w:spacing w:after="60" w:before="60"/>
      </w:pPr>
      <w:r>
        <w:rPr>
          <w:rFonts w:ascii="游明朝" w:cs="游明朝" w:eastAsia="游明朝" w:hAnsi="游明朝"/>
          <w:sz w:val="24"/>
          <w:szCs w:val="24"/>
        </w:rPr>
        <w:t xml:space="preserve">PCT: 免疫抑制下でも細菌感染に対する反応は比較的保たれるが、ステロイド大量投与下ではPCT上昇が抑制される可能性がある</w:t>
      </w:r>
    </w:p>
    <w:p>
      <w:pPr>
        <w:pStyle w:val="ListParagraph"/>
        <w:numPr>
          <w:ilvl w:val="0"/>
          <w:numId w:val="2"/>
        </w:numPr>
        <w:spacing w:after="60" w:before="60"/>
      </w:pPr>
      <w:r>
        <w:rPr>
          <w:rFonts w:ascii="游明朝" w:cs="游明朝" w:eastAsia="游明朝" w:hAnsi="游明朝"/>
          <w:sz w:val="24"/>
          <w:szCs w:val="24"/>
        </w:rPr>
        <w:t xml:space="preserve">CRP: 免疫抑制剤（特にIL-6阻害薬使用時）ではCRP反応が減弱</w:t>
      </w:r>
    </w:p>
    <w:p>
      <w:pPr>
        <w:pStyle w:val="Heading3"/>
        <w:spacing w:after="120" w:before="240"/>
      </w:pPr>
      <w:r>
        <w:rPr>
          <w:rFonts w:ascii="游ゴシック" w:cs="游ゴシック" w:eastAsia="游ゴシック" w:hAnsi="游ゴシック"/>
          <w:b/>
          <w:bCs/>
          <w:sz w:val="24"/>
          <w:szCs w:val="24"/>
        </w:rPr>
        <w:t xml:space="preserve">7-4. 治療戦略</w:t>
      </w:r>
    </w:p>
    <w:p>
      <w:pPr>
        <w:pStyle w:val="ListParagraph"/>
        <w:numPr>
          <w:ilvl w:val="0"/>
          <w:numId w:val="2"/>
        </w:numPr>
        <w:spacing w:after="60" w:before="60"/>
      </w:pPr>
      <w:r>
        <w:rPr>
          <w:rFonts w:ascii="游明朝" w:cs="游明朝" w:eastAsia="游明朝" w:hAnsi="游明朝"/>
          <w:sz w:val="24"/>
          <w:szCs w:val="24"/>
        </w:rPr>
        <w:t xml:space="preserve">培養結果を待たず、早期の</w:t>
      </w:r>
      <w:r>
        <w:rPr>
          <w:rFonts w:ascii="游明朝" w:cs="游明朝" w:eastAsia="游明朝" w:hAnsi="游明朝"/>
          <w:b/>
          <w:bCs/>
          <w:sz w:val="24"/>
          <w:szCs w:val="24"/>
        </w:rPr>
        <w:t xml:space="preserve">広域抗菌薬経験的治療</w:t>
      </w:r>
      <w:r>
        <w:rPr>
          <w:rFonts w:ascii="游明朝" w:cs="游明朝" w:eastAsia="游明朝" w:hAnsi="游明朝"/>
          <w:sz w:val="24"/>
          <w:szCs w:val="24"/>
        </w:rPr>
        <w:t xml:space="preserve">が推奨される</w:t>
      </w:r>
    </w:p>
    <w:p>
      <w:pPr>
        <w:pStyle w:val="ListParagraph"/>
        <w:numPr>
          <w:ilvl w:val="0"/>
          <w:numId w:val="2"/>
        </w:numPr>
        <w:spacing w:after="60" w:before="60"/>
      </w:pPr>
      <w:r>
        <w:rPr>
          <w:rFonts w:ascii="游明朝" w:cs="游明朝" w:eastAsia="游明朝" w:hAnsi="游明朝"/>
          <w:sz w:val="24"/>
          <w:szCs w:val="24"/>
        </w:rPr>
        <w:t xml:space="preserve">培養陰性であっても、臨床的改善が得られた場合は</w:t>
      </w:r>
      <w:r>
        <w:rPr>
          <w:rFonts w:ascii="游明朝" w:cs="游明朝" w:eastAsia="游明朝" w:hAnsi="游明朝"/>
          <w:b/>
          <w:bCs/>
          <w:sz w:val="24"/>
          <w:szCs w:val="24"/>
        </w:rPr>
        <w:t xml:space="preserve">適切な治療期間を完遂</w:t>
      </w:r>
      <w:r>
        <w:rPr>
          <w:rFonts w:ascii="游明朝" w:cs="游明朝" w:eastAsia="游明朝" w:hAnsi="游明朝"/>
          <w:sz w:val="24"/>
          <w:szCs w:val="24"/>
        </w:rPr>
        <w:t xml:space="preserve">すべきである</w:t>
      </w:r>
    </w:p>
    <w:p>
      <w:pPr>
        <w:pStyle w:val="ListParagraph"/>
        <w:numPr>
          <w:ilvl w:val="0"/>
          <w:numId w:val="2"/>
        </w:numPr>
        <w:spacing w:after="60" w:before="60"/>
      </w:pPr>
      <w:r>
        <w:rPr>
          <w:rFonts w:ascii="游明朝" w:cs="游明朝" w:eastAsia="游明朝" w:hAnsi="游明朝"/>
          <w:sz w:val="24"/>
          <w:szCs w:val="24"/>
        </w:rPr>
        <w:t xml:space="preserve">再発リスクが高いため、治療後のフォローアップが重要</w:t>
      </w:r>
    </w:p>
    <w:p>
      <w:pPr>
        <w:spacing w:after="300" w:before="300"/>
      </w:pPr>
    </w:p>
    <w:p>
      <w:pPr>
        <w:pStyle w:val="Heading2"/>
        <w:spacing w:after="160" w:before="300"/>
      </w:pPr>
      <w:r>
        <w:rPr>
          <w:rFonts w:ascii="游ゴシック" w:cs="游ゴシック" w:eastAsia="游ゴシック" w:hAnsi="游ゴシック"/>
          <w:b/>
          <w:bCs/>
          <w:sz w:val="28"/>
          <w:szCs w:val="28"/>
        </w:rPr>
        <w:t xml:space="preserve">8. 本症例への考察</w:t>
      </w:r>
    </w:p>
    <w:p>
      <w:pPr>
        <w:pStyle w:val="Heading3"/>
        <w:spacing w:after="120" w:before="240"/>
      </w:pPr>
      <w:r>
        <w:rPr>
          <w:rFonts w:ascii="游ゴシック" w:cs="游ゴシック" w:eastAsia="游ゴシック" w:hAnsi="游ゴシック"/>
          <w:b/>
          <w:bCs/>
          <w:sz w:val="24"/>
          <w:szCs w:val="24"/>
        </w:rPr>
        <w:t xml:space="preserve">8-1. 症例の要約</w:t>
      </w:r>
    </w:p>
    <w:p>
      <w:pPr>
        <w:pStyle w:val="ListParagraph"/>
        <w:numPr>
          <w:ilvl w:val="0"/>
          <w:numId w:val="2"/>
        </w:numPr>
        <w:spacing w:after="60" w:before="60"/>
      </w:pPr>
      <w:r>
        <w:rPr>
          <w:rFonts w:ascii="游明朝" w:cs="游明朝" w:eastAsia="游明朝" w:hAnsi="游明朝"/>
          <w:b/>
          <w:bCs/>
          <w:sz w:val="24"/>
          <w:szCs w:val="24"/>
        </w:rPr>
        <w:t xml:space="preserve">背景</w:t>
      </w:r>
      <w:r>
        <w:rPr>
          <w:rFonts w:ascii="游明朝" w:cs="游明朝" w:eastAsia="游明朝" w:hAnsi="游明朝"/>
          <w:sz w:val="24"/>
          <w:szCs w:val="24"/>
        </w:rPr>
        <w:t xml:space="preserve">: 免疫抑制剤使用中の多発性筋炎患者</w:t>
      </w:r>
    </w:p>
    <w:p>
      <w:pPr>
        <w:pStyle w:val="ListParagraph"/>
        <w:numPr>
          <w:ilvl w:val="0"/>
          <w:numId w:val="2"/>
        </w:numPr>
        <w:spacing w:after="60" w:before="60"/>
      </w:pPr>
      <w:r>
        <w:rPr>
          <w:rFonts w:ascii="游明朝" w:cs="游明朝" w:eastAsia="游明朝" w:hAnsi="游明朝"/>
          <w:b/>
          <w:bCs/>
          <w:sz w:val="24"/>
          <w:szCs w:val="24"/>
        </w:rPr>
        <w:t xml:space="preserve">臨床所見</w:t>
      </w:r>
      <w:r>
        <w:rPr>
          <w:rFonts w:ascii="游明朝" w:cs="游明朝" w:eastAsia="游明朝" w:hAnsi="游明朝"/>
          <w:sz w:val="24"/>
          <w:szCs w:val="24"/>
        </w:rPr>
        <w:t xml:space="preserve">: 発熱、膿尿、PCT陽性</w:t>
      </w:r>
    </w:p>
    <w:p>
      <w:pPr>
        <w:pStyle w:val="ListParagraph"/>
        <w:numPr>
          <w:ilvl w:val="0"/>
          <w:numId w:val="2"/>
        </w:numPr>
        <w:spacing w:after="60" w:before="60"/>
      </w:pPr>
      <w:r>
        <w:rPr>
          <w:rFonts w:ascii="游明朝" w:cs="游明朝" w:eastAsia="游明朝" w:hAnsi="游明朝"/>
          <w:b/>
          <w:bCs/>
          <w:sz w:val="24"/>
          <w:szCs w:val="24"/>
        </w:rPr>
        <w:t xml:space="preserve">画像所見</w:t>
      </w:r>
      <w:r>
        <w:rPr>
          <w:rFonts w:ascii="游明朝" w:cs="游明朝" w:eastAsia="游明朝" w:hAnsi="游明朝"/>
          <w:sz w:val="24"/>
          <w:szCs w:val="24"/>
        </w:rPr>
        <w:t xml:space="preserve">: CTで他の感染フォーカスなし</w:t>
      </w:r>
    </w:p>
    <w:p>
      <w:pPr>
        <w:pStyle w:val="ListParagraph"/>
        <w:numPr>
          <w:ilvl w:val="0"/>
          <w:numId w:val="2"/>
        </w:numPr>
        <w:spacing w:after="60" w:before="60"/>
      </w:pPr>
      <w:r>
        <w:rPr>
          <w:rFonts w:ascii="游明朝" w:cs="游明朝" w:eastAsia="游明朝" w:hAnsi="游明朝"/>
          <w:b/>
          <w:bCs/>
          <w:sz w:val="24"/>
          <w:szCs w:val="24"/>
        </w:rPr>
        <w:t xml:space="preserve">経過</w:t>
      </w:r>
      <w:r>
        <w:rPr>
          <w:rFonts w:ascii="游明朝" w:cs="游明朝" w:eastAsia="游明朝" w:hAnsi="游明朝"/>
          <w:sz w:val="24"/>
          <w:szCs w:val="24"/>
        </w:rPr>
        <w:t xml:space="preserve">: 広域抗菌薬で臨床的改善</w:t>
      </w:r>
    </w:p>
    <w:p>
      <w:pPr>
        <w:pStyle w:val="ListParagraph"/>
        <w:numPr>
          <w:ilvl w:val="0"/>
          <w:numId w:val="2"/>
        </w:numPr>
        <w:spacing w:after="60" w:before="60"/>
      </w:pPr>
      <w:r>
        <w:rPr>
          <w:rFonts w:ascii="游明朝" w:cs="游明朝" w:eastAsia="游明朝" w:hAnsi="游明朝"/>
          <w:b/>
          <w:bCs/>
          <w:sz w:val="24"/>
          <w:szCs w:val="24"/>
        </w:rPr>
        <w:t xml:space="preserve">培養結果</w:t>
      </w:r>
      <w:r>
        <w:rPr>
          <w:rFonts w:ascii="游明朝" w:cs="游明朝" w:eastAsia="游明朝" w:hAnsi="游明朝"/>
          <w:sz w:val="24"/>
          <w:szCs w:val="24"/>
        </w:rPr>
        <w:t xml:space="preserve">: 血液培養陰性、尿培養陰性</w:t>
      </w:r>
    </w:p>
    <w:p>
      <w:pPr>
        <w:pStyle w:val="Heading3"/>
        <w:spacing w:after="120" w:before="240"/>
      </w:pPr>
      <w:r>
        <w:rPr>
          <w:rFonts w:ascii="游ゴシック" w:cs="游ゴシック" w:eastAsia="游ゴシック" w:hAnsi="游ゴシック"/>
          <w:b/>
          <w:bCs/>
          <w:sz w:val="24"/>
          <w:szCs w:val="24"/>
        </w:rPr>
        <w:t xml:space="preserve">8-2. 「培養陰性UTI」と判断しうる根拠</w:t>
      </w:r>
    </w:p>
    <w:p>
      <w:pPr>
        <w:spacing w:after="100" w:before="100"/>
      </w:pPr>
      <w:r>
        <w:rPr>
          <w:rFonts w:ascii="游明朝" w:cs="游明朝" w:eastAsia="游明朝" w:hAnsi="游明朝"/>
          <w:sz w:val="24"/>
          <w:szCs w:val="24"/>
        </w:rPr>
        <w:t xml:space="preserve">本症例を培養陰性UTIと考える根拠は以下の通りである：</w:t>
      </w:r>
    </w:p>
    <w:p>
      <w:pPr>
        <w:pStyle w:val="ListParagraph"/>
        <w:numPr>
          <w:ilvl w:val="0"/>
          <w:numId w:val="3"/>
        </w:numPr>
        <w:spacing w:after="60" w:before="60"/>
      </w:pPr>
      <w:r>
        <w:rPr>
          <w:rFonts w:ascii="游明朝" w:cs="游明朝" w:eastAsia="游明朝" w:hAnsi="游明朝"/>
          <w:b/>
          <w:bCs/>
          <w:sz w:val="24"/>
          <w:szCs w:val="24"/>
        </w:rPr>
        <w:t xml:space="preserve">感染巣の同定</w:t>
      </w:r>
      <w:r>
        <w:rPr>
          <w:rFonts w:ascii="游明朝" w:cs="游明朝" w:eastAsia="游明朝" w:hAnsi="游明朝"/>
          <w:sz w:val="24"/>
          <w:szCs w:val="24"/>
        </w:rPr>
        <w:t xml:space="preserve">: CTで他のフォーカスがなく、膿尿が存在 → 尿路が感染巣である蓋然性が高い</w:t>
      </w:r>
    </w:p>
    <w:p>
      <w:pPr>
        <w:pStyle w:val="ListParagraph"/>
        <w:numPr>
          <w:ilvl w:val="0"/>
          <w:numId w:val="3"/>
        </w:numPr>
        <w:spacing w:after="60" w:before="60"/>
      </w:pPr>
      <w:r>
        <w:rPr>
          <w:rFonts w:ascii="游明朝" w:cs="游明朝" w:eastAsia="游明朝" w:hAnsi="游明朝"/>
          <w:b/>
          <w:bCs/>
          <w:sz w:val="24"/>
          <w:szCs w:val="24"/>
        </w:rPr>
        <w:t xml:space="preserve">全身性細菌感染の証拠</w:t>
      </w:r>
      <w:r>
        <w:rPr>
          <w:rFonts w:ascii="游明朝" w:cs="游明朝" w:eastAsia="游明朝" w:hAnsi="游明朝"/>
          <w:sz w:val="24"/>
          <w:szCs w:val="24"/>
        </w:rPr>
        <w:t xml:space="preserve">: PCT陽性 → 細菌感染に対する全身性炎症反応を反映（van Nieuwkoop C et al., 2010; PMID: 21083886）</w:t>
      </w:r>
    </w:p>
    <w:p>
      <w:pPr>
        <w:pStyle w:val="ListParagraph"/>
        <w:numPr>
          <w:ilvl w:val="0"/>
          <w:numId w:val="3"/>
        </w:numPr>
        <w:spacing w:after="60" w:before="60"/>
      </w:pPr>
      <w:r>
        <w:rPr>
          <w:rFonts w:ascii="游明朝" w:cs="游明朝" w:eastAsia="游明朝" w:hAnsi="游明朝"/>
          <w:b/>
          <w:bCs/>
          <w:sz w:val="24"/>
          <w:szCs w:val="24"/>
        </w:rPr>
        <w:t xml:space="preserve">治療への反応性</w:t>
      </w:r>
      <w:r>
        <w:rPr>
          <w:rFonts w:ascii="游明朝" w:cs="游明朝" w:eastAsia="游明朝" w:hAnsi="游明朝"/>
          <w:sz w:val="24"/>
          <w:szCs w:val="24"/>
        </w:rPr>
        <w:t xml:space="preserve">: 広域抗菌薬で臨床的改善 → 抗菌薬感受性の微生物による感染を支持</w:t>
      </w:r>
    </w:p>
    <w:p>
      <w:pPr>
        <w:pStyle w:val="ListParagraph"/>
        <w:numPr>
          <w:ilvl w:val="0"/>
          <w:numId w:val="3"/>
        </w:numPr>
        <w:spacing w:after="60" w:before="60"/>
      </w:pPr>
      <w:r>
        <w:rPr>
          <w:rFonts w:ascii="游明朝" w:cs="游明朝" w:eastAsia="游明朝" w:hAnsi="游明朝"/>
          <w:b/>
          <w:bCs/>
          <w:sz w:val="24"/>
          <w:szCs w:val="24"/>
        </w:rPr>
        <w:t xml:space="preserve">臨床診断基準の充足</w:t>
      </w:r>
      <w:r>
        <w:rPr>
          <w:rFonts w:ascii="游明朝" w:cs="游明朝" w:eastAsia="游明朝" w:hAnsi="游明朝"/>
          <w:sz w:val="24"/>
          <w:szCs w:val="24"/>
        </w:rPr>
        <w:t xml:space="preserve">: Hertz MA et al.（2024; PMID: 38984294）の研究が示すように、培養陽性は臨床的UTI診断の必須条件ではない</w:t>
      </w:r>
    </w:p>
    <w:p>
      <w:pPr>
        <w:pStyle w:val="Heading3"/>
        <w:spacing w:after="120" w:before="240"/>
      </w:pPr>
      <w:r>
        <w:rPr>
          <w:rFonts w:ascii="游ゴシック" w:cs="游ゴシック" w:eastAsia="游ゴシック" w:hAnsi="游ゴシック"/>
          <w:b/>
          <w:bCs/>
          <w:sz w:val="24"/>
          <w:szCs w:val="24"/>
        </w:rPr>
        <w:t xml:space="preserve">8-3. 培養陰性となった原因の推察</w:t>
      </w:r>
    </w:p>
    <w:p>
      <w:pPr>
        <w:spacing w:after="100" w:before="100"/>
      </w:pPr>
      <w:r>
        <w:rPr>
          <w:rFonts w:ascii="游明朝" w:cs="游明朝" w:eastAsia="游明朝" w:hAnsi="游明朝"/>
          <w:sz w:val="24"/>
          <w:szCs w:val="24"/>
        </w:rPr>
        <w:t xml:space="preserve">本症例で培養が陰性となった可能性のある原因を、可能性の高い順に列挙する：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順位</w:t>
            </w:r>
          </w:p>
        </w:tc>
        <w:tc>
          <w:tcPr>
            <w:tcW w:type="dxa" w:w="3008"/>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推定原因</w:t>
            </w:r>
          </w:p>
        </w:tc>
        <w:tc>
          <w:tcPr>
            <w:tcW w:type="dxa" w:w="3010"/>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推定根拠</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1</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事前抗菌薬投与による培養陰性化</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広域抗菌薬開始後の培養提出であれば最も可能性が高い（Jadhav VB et al., 2025; PMID: 40510091）</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2</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低菌量感染</w:t>
            </w:r>
            <w:r>
              <w:rPr>
                <w:rFonts w:ascii="游明朝" w:cs="游明朝" w:eastAsia="游明朝" w:hAnsi="游明朝"/>
                <w:b w:val="false"/>
                <w:bCs w:val="false"/>
                <w:sz w:val="20"/>
                <w:szCs w:val="20"/>
              </w:rPr>
              <w:t xml:space="preserve">（培養閾値以下）</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免疫抑制下では低い菌量でも症候性感染を呈しうる</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3</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難培養菌による感染</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Ureaplasma, Mycoplasma, Chlamydia等は標準培養で検出不可</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4</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従来培養法の感度限界</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tNGSで培養陰性検体の53.1%から病原体が検出される（Chang Z et al., 2025; PMID: 40058503）</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5</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非細菌性微生物</w:t>
            </w:r>
            <w:r>
              <w:rPr>
                <w:rFonts w:ascii="游明朝" w:cs="游明朝" w:eastAsia="游明朝" w:hAnsi="游明朝"/>
                <w:b w:val="false"/>
                <w:bCs w:val="false"/>
                <w:sz w:val="20"/>
                <w:szCs w:val="20"/>
              </w:rPr>
              <w:t xml:space="preserve">（ウイルス、真菌）</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免疫抑制下ではBKウイルス、CMV等のリスクが上昇</w:t>
            </w:r>
          </w:p>
        </w:tc>
      </w:tr>
    </w:tbl>
    <w:p>
      <w:pPr>
        <w:spacing w:after="100" w:before="100"/>
      </w:pPr>
    </w:p>
    <w:p>
      <w:pPr>
        <w:pStyle w:val="Heading3"/>
        <w:spacing w:after="120" w:before="240"/>
      </w:pPr>
      <w:r>
        <w:rPr>
          <w:rFonts w:ascii="游ゴシック" w:cs="游ゴシック" w:eastAsia="游ゴシック" w:hAnsi="游ゴシック"/>
          <w:b/>
          <w:bCs/>
          <w:sz w:val="24"/>
          <w:szCs w:val="24"/>
        </w:rPr>
        <w:t xml:space="preserve">8-4. 免疫抑制という背景の重要性</w:t>
      </w:r>
    </w:p>
    <w:p>
      <w:pPr>
        <w:spacing w:after="100" w:before="100"/>
      </w:pPr>
      <w:r>
        <w:rPr>
          <w:rFonts w:ascii="游明朝" w:cs="游明朝" w:eastAsia="游明朝" w:hAnsi="游明朝"/>
          <w:sz w:val="24"/>
          <w:szCs w:val="24"/>
        </w:rPr>
        <w:t xml:space="preserve">多発性筋炎に対する免疫抑制療法は、以下の点で本症例の解釈に影響を与える：</w:t>
      </w:r>
    </w:p>
    <w:p>
      <w:pPr>
        <w:pStyle w:val="ListParagraph"/>
        <w:numPr>
          <w:ilvl w:val="0"/>
          <w:numId w:val="2"/>
        </w:numPr>
        <w:spacing w:after="60" w:before="60"/>
      </w:pPr>
      <w:r>
        <w:rPr>
          <w:rFonts w:ascii="游明朝" w:cs="游明朝" w:eastAsia="游明朝" w:hAnsi="游明朝"/>
          <w:sz w:val="24"/>
          <w:szCs w:val="24"/>
        </w:rPr>
        <w:t xml:space="preserve">非典型的な臨床像（発熱のみ、泌尿器症状に乏しい）を呈しやすい</w:t>
      </w:r>
    </w:p>
    <w:p>
      <w:pPr>
        <w:pStyle w:val="ListParagraph"/>
        <w:numPr>
          <w:ilvl w:val="0"/>
          <w:numId w:val="2"/>
        </w:numPr>
        <w:spacing w:after="60" w:before="60"/>
      </w:pPr>
      <w:r>
        <w:rPr>
          <w:rFonts w:ascii="游明朝" w:cs="游明朝" w:eastAsia="游明朝" w:hAnsi="游明朝"/>
          <w:sz w:val="24"/>
          <w:szCs w:val="24"/>
        </w:rPr>
        <w:t xml:space="preserve">低菌量でも全身性の感染徴候を示しうる</w:t>
      </w:r>
    </w:p>
    <w:p>
      <w:pPr>
        <w:pStyle w:val="ListParagraph"/>
        <w:numPr>
          <w:ilvl w:val="0"/>
          <w:numId w:val="2"/>
        </w:numPr>
        <w:spacing w:after="60" w:before="60"/>
      </w:pPr>
      <w:r>
        <w:rPr>
          <w:rFonts w:ascii="游明朝" w:cs="游明朝" w:eastAsia="游明朝" w:hAnsi="游明朝"/>
          <w:sz w:val="24"/>
          <w:szCs w:val="24"/>
        </w:rPr>
        <w:t xml:space="preserve">PCT反応は比較的保たれるが、使用中の免疫抑制剤の種類によっては修飾されうる</w:t>
      </w:r>
    </w:p>
    <w:p>
      <w:pPr>
        <w:spacing w:after="300" w:before="300"/>
      </w:pPr>
    </w:p>
    <w:p>
      <w:pPr>
        <w:pStyle w:val="Heading2"/>
        <w:spacing w:after="160" w:before="300"/>
      </w:pPr>
      <w:r>
        <w:rPr>
          <w:rFonts w:ascii="游ゴシック" w:cs="游ゴシック" w:eastAsia="游ゴシック" w:hAnsi="游ゴシック"/>
          <w:b/>
          <w:bCs/>
          <w:sz w:val="28"/>
          <w:szCs w:val="28"/>
        </w:rPr>
        <w:t xml:space="preserve">9. 臨床的推奨事項</w:t>
      </w:r>
    </w:p>
    <w:p>
      <w:pPr>
        <w:pStyle w:val="Heading3"/>
        <w:spacing w:after="120" w:before="240"/>
      </w:pPr>
      <w:r>
        <w:rPr>
          <w:rFonts w:ascii="游ゴシック" w:cs="游ゴシック" w:eastAsia="游ゴシック" w:hAnsi="游ゴシック"/>
          <w:b/>
          <w:bCs/>
          <w:sz w:val="24"/>
          <w:szCs w:val="24"/>
        </w:rPr>
        <w:t xml:space="preserve">9-1. 今後の類似症例への対応</w:t>
      </w:r>
    </w:p>
    <w:p>
      <w:pPr>
        <w:pStyle w:val="ListParagraph"/>
        <w:numPr>
          <w:ilvl w:val="0"/>
          <w:numId w:val="3"/>
        </w:numPr>
        <w:spacing w:after="60" w:before="60"/>
      </w:pPr>
      <w:r>
        <w:rPr>
          <w:rFonts w:ascii="游明朝" w:cs="游明朝" w:eastAsia="游明朝" w:hAnsi="游明朝"/>
          <w:b/>
          <w:bCs/>
          <w:sz w:val="24"/>
          <w:szCs w:val="24"/>
        </w:rPr>
        <w:t xml:space="preserve">培養提出のタイミング</w:t>
      </w:r>
      <w:r>
        <w:rPr>
          <w:rFonts w:ascii="游明朝" w:cs="游明朝" w:eastAsia="游明朝" w:hAnsi="游明朝"/>
          <w:sz w:val="24"/>
          <w:szCs w:val="24"/>
        </w:rPr>
        <w:t xml:space="preserve">: 可能な限り</w:t>
      </w:r>
      <w:r>
        <w:rPr>
          <w:rFonts w:ascii="游明朝" w:cs="游明朝" w:eastAsia="游明朝" w:hAnsi="游明朝"/>
          <w:b/>
          <w:bCs/>
          <w:sz w:val="24"/>
          <w:szCs w:val="24"/>
        </w:rPr>
        <w:t xml:space="preserve">抗菌薬投与前</w:t>
      </w:r>
      <w:r>
        <w:rPr>
          <w:rFonts w:ascii="游明朝" w:cs="游明朝" w:eastAsia="游明朝" w:hAnsi="游明朝"/>
          <w:sz w:val="24"/>
          <w:szCs w:val="24"/>
        </w:rPr>
        <w:t xml:space="preserve">に培養を提出する（最も重要）</w:t>
      </w:r>
    </w:p>
    <w:p>
      <w:pPr>
        <w:pStyle w:val="ListParagraph"/>
        <w:numPr>
          <w:ilvl w:val="0"/>
          <w:numId w:val="3"/>
        </w:numPr>
        <w:spacing w:after="60" w:before="60"/>
      </w:pPr>
      <w:r>
        <w:rPr>
          <w:rFonts w:ascii="游明朝" w:cs="游明朝" w:eastAsia="游明朝" w:hAnsi="游明朝"/>
          <w:b/>
          <w:bCs/>
          <w:sz w:val="24"/>
          <w:szCs w:val="24"/>
        </w:rPr>
        <w:t xml:space="preserve">培養方法の最適化</w:t>
      </w:r>
      <w:r>
        <w:rPr>
          <w:rFonts w:ascii="游明朝" w:cs="游明朝" w:eastAsia="游明朝" w:hAnsi="游明朝"/>
          <w:sz w:val="24"/>
          <w:szCs w:val="24"/>
        </w:rPr>
        <w:t xml:space="preserve">: 免疫抑制患者では、標準培養に加え以下を考慮する：</w:t>
      </w:r>
    </w:p>
    <w:p>
      <w:pPr>
        <w:pStyle w:val="ListParagraph"/>
        <w:numPr>
          <w:ilvl w:val="1"/>
          <w:numId w:val="3"/>
        </w:numPr>
        <w:spacing w:after="40" w:before="40"/>
      </w:pPr>
      <w:r>
        <w:rPr>
          <w:rFonts w:ascii="游明朝" w:cs="游明朝" w:eastAsia="游明朝" w:hAnsi="游明朝"/>
          <w:sz w:val="24"/>
          <w:szCs w:val="24"/>
        </w:rPr>
        <w:t xml:space="preserve">真菌培養の追加</w:t>
      </w:r>
    </w:p>
    <w:p>
      <w:pPr>
        <w:pStyle w:val="ListParagraph"/>
        <w:numPr>
          <w:ilvl w:val="1"/>
          <w:numId w:val="3"/>
        </w:numPr>
        <w:spacing w:after="40" w:before="40"/>
      </w:pPr>
      <w:r>
        <w:rPr>
          <w:rFonts w:ascii="游明朝" w:cs="游明朝" w:eastAsia="游明朝" w:hAnsi="游明朝"/>
          <w:sz w:val="24"/>
          <w:szCs w:val="24"/>
        </w:rPr>
        <w:t xml:space="preserve">抗酸菌培養の追加（臨床的に疑われる場合）</w:t>
      </w:r>
    </w:p>
    <w:p>
      <w:pPr>
        <w:pStyle w:val="ListParagraph"/>
        <w:numPr>
          <w:ilvl w:val="1"/>
          <w:numId w:val="3"/>
        </w:numPr>
        <w:spacing w:after="40" w:before="40"/>
      </w:pPr>
      <w:r>
        <w:rPr>
          <w:rFonts w:ascii="游明朝" w:cs="游明朝" w:eastAsia="游明朝" w:hAnsi="游明朝"/>
          <w:sz w:val="24"/>
          <w:szCs w:val="24"/>
        </w:rPr>
        <w:t xml:space="preserve">嫌気培養の追加</w:t>
      </w:r>
    </w:p>
    <w:p>
      <w:pPr>
        <w:pStyle w:val="ListParagraph"/>
        <w:numPr>
          <w:ilvl w:val="0"/>
          <w:numId w:val="3"/>
        </w:numPr>
        <w:spacing w:after="60" w:before="60"/>
      </w:pPr>
      <w:r>
        <w:rPr>
          <w:rFonts w:ascii="游明朝" w:cs="游明朝" w:eastAsia="游明朝" w:hAnsi="游明朝"/>
          <w:b/>
          <w:bCs/>
          <w:sz w:val="24"/>
          <w:szCs w:val="24"/>
        </w:rPr>
        <w:t xml:space="preserve">分子診断法の活用</w:t>
      </w:r>
      <w:r>
        <w:rPr>
          <w:rFonts w:ascii="游明朝" w:cs="游明朝" w:eastAsia="游明朝" w:hAnsi="游明朝"/>
          <w:sz w:val="24"/>
          <w:szCs w:val="24"/>
        </w:rPr>
        <w:t xml:space="preserve">: 培養陰性で臨床的にUTIが疑われる場合：</w:t>
      </w:r>
    </w:p>
    <w:p>
      <w:pPr>
        <w:pStyle w:val="ListParagraph"/>
        <w:numPr>
          <w:ilvl w:val="1"/>
          <w:numId w:val="3"/>
        </w:numPr>
        <w:spacing w:after="40" w:before="40"/>
      </w:pPr>
      <w:r>
        <w:rPr>
          <w:rFonts w:ascii="游明朝" w:cs="游明朝" w:eastAsia="游明朝" w:hAnsi="游明朝"/>
          <w:sz w:val="24"/>
          <w:szCs w:val="24"/>
        </w:rPr>
        <w:t xml:space="preserve">尿中PCR（Chlamydia, Mycoplasma, BKウイルス等）</w:t>
      </w:r>
    </w:p>
    <w:p>
      <w:pPr>
        <w:pStyle w:val="ListParagraph"/>
        <w:numPr>
          <w:ilvl w:val="1"/>
          <w:numId w:val="3"/>
        </w:numPr>
        <w:spacing w:after="40" w:before="40"/>
      </w:pPr>
      <w:r>
        <w:rPr>
          <w:rFonts w:ascii="游明朝" w:cs="游明朝" w:eastAsia="游明朝" w:hAnsi="游明朝"/>
          <w:sz w:val="24"/>
          <w:szCs w:val="24"/>
        </w:rPr>
        <w:t xml:space="preserve">tNGS（利用可能な場合）：12時間以内に結果が得られ、培養陰性検体の53.1%で病原体を検出可能</w:t>
      </w:r>
    </w:p>
    <w:p>
      <w:pPr>
        <w:pStyle w:val="ListParagraph"/>
        <w:numPr>
          <w:ilvl w:val="0"/>
          <w:numId w:val="3"/>
        </w:numPr>
        <w:spacing w:after="60" w:before="60"/>
      </w:pPr>
      <w:r>
        <w:rPr>
          <w:rFonts w:ascii="游明朝" w:cs="游明朝" w:eastAsia="游明朝" w:hAnsi="游明朝"/>
          <w:b/>
          <w:bCs/>
          <w:sz w:val="24"/>
          <w:szCs w:val="24"/>
        </w:rPr>
        <w:t xml:space="preserve">複合的診断アプローチ</w:t>
      </w:r>
      <w:r>
        <w:rPr>
          <w:rFonts w:ascii="游明朝" w:cs="游明朝" w:eastAsia="游明朝" w:hAnsi="游明朝"/>
          <w:sz w:val="24"/>
          <w:szCs w:val="24"/>
        </w:rPr>
        <w:t xml:space="preserve">: 「Triple F」アルゴリズム（Fever + Failure + Focus）にPCTを組み合わせた系統的評価（Rothe K et al., 2020; PMID: 33091046）</w:t>
      </w:r>
    </w:p>
    <w:p>
      <w:pPr>
        <w:pStyle w:val="ListParagraph"/>
        <w:numPr>
          <w:ilvl w:val="0"/>
          <w:numId w:val="3"/>
        </w:numPr>
        <w:spacing w:after="60" w:before="60"/>
      </w:pPr>
      <w:r>
        <w:rPr>
          <w:rFonts w:ascii="游明朝" w:cs="游明朝" w:eastAsia="游明朝" w:hAnsi="游明朝"/>
          <w:b/>
          <w:bCs/>
          <w:sz w:val="24"/>
          <w:szCs w:val="24"/>
        </w:rPr>
        <w:t xml:space="preserve">治療方針</w:t>
      </w:r>
      <w:r>
        <w:rPr>
          <w:rFonts w:ascii="游明朝" w:cs="游明朝" w:eastAsia="游明朝" w:hAnsi="游明朝"/>
          <w:sz w:val="24"/>
          <w:szCs w:val="24"/>
        </w:rPr>
        <w:t xml:space="preserve">: 培養陰性であっても、臨床的にUTIと判断される場合は治療を完遂する。Hertz MA et al.（2024; PMID: 38984294）の知見が支持するように、培養陽性はUTI診断の絶対条件ではない</w:t>
      </w:r>
    </w:p>
    <w:p>
      <w:pPr>
        <w:pStyle w:val="Heading3"/>
        <w:spacing w:after="120" w:before="240"/>
      </w:pPr>
      <w:r>
        <w:rPr>
          <w:rFonts w:ascii="游ゴシック" w:cs="游ゴシック" w:eastAsia="游ゴシック" w:hAnsi="游ゴシック"/>
          <w:b/>
          <w:bCs/>
          <w:sz w:val="24"/>
          <w:szCs w:val="24"/>
        </w:rPr>
        <w:t xml:space="preserve">9-2. 院内プロトコルへの提案</w:t>
      </w:r>
    </w:p>
    <w:p>
      <w:pPr>
        <w:pStyle w:val="ListParagraph"/>
        <w:numPr>
          <w:ilvl w:val="0"/>
          <w:numId w:val="2"/>
        </w:numPr>
        <w:spacing w:after="60" w:before="60"/>
      </w:pPr>
      <w:r>
        <w:rPr>
          <w:rFonts w:ascii="游明朝" w:cs="游明朝" w:eastAsia="游明朝" w:hAnsi="游明朝"/>
          <w:sz w:val="24"/>
          <w:szCs w:val="24"/>
        </w:rPr>
        <w:t xml:space="preserve">免疫抑制患者の発熱時には、尿検査（一般・沈渣）を必ず含める</w:t>
      </w:r>
    </w:p>
    <w:p>
      <w:pPr>
        <w:pStyle w:val="ListParagraph"/>
        <w:numPr>
          <w:ilvl w:val="0"/>
          <w:numId w:val="2"/>
        </w:numPr>
        <w:spacing w:after="60" w:before="60"/>
      </w:pPr>
      <w:r>
        <w:rPr>
          <w:rFonts w:ascii="游明朝" w:cs="游明朝" w:eastAsia="游明朝" w:hAnsi="游明朝"/>
          <w:sz w:val="24"/>
          <w:szCs w:val="24"/>
        </w:rPr>
        <w:t xml:space="preserve">膿尿＋培養陰性の場合、「無菌性膿尿の鑑別チェックリスト」を活用する</w:t>
      </w:r>
    </w:p>
    <w:p>
      <w:pPr>
        <w:pStyle w:val="ListParagraph"/>
        <w:numPr>
          <w:ilvl w:val="0"/>
          <w:numId w:val="2"/>
        </w:numPr>
        <w:spacing w:after="60" w:before="60"/>
      </w:pPr>
      <w:r>
        <w:rPr>
          <w:rFonts w:ascii="游明朝" w:cs="游明朝" w:eastAsia="游明朝" w:hAnsi="游明朝"/>
          <w:sz w:val="24"/>
          <w:szCs w:val="24"/>
        </w:rPr>
        <w:t xml:space="preserve">PCTは UTI の診断そのものよりも、菌血症合併の評価に有用であることを周知する</w:t>
      </w:r>
    </w:p>
    <w:p>
      <w:pPr>
        <w:spacing w:after="300" w:before="300"/>
      </w:pPr>
    </w:p>
    <w:p>
      <w:pPr>
        <w:pStyle w:val="Heading2"/>
        <w:spacing w:after="160" w:before="300"/>
      </w:pPr>
      <w:r>
        <w:rPr>
          <w:rFonts w:ascii="游ゴシック" w:cs="游ゴシック" w:eastAsia="游ゴシック" w:hAnsi="游ゴシック"/>
          <w:b/>
          <w:bCs/>
          <w:sz w:val="28"/>
          <w:szCs w:val="28"/>
        </w:rPr>
        <w:t xml:space="preserve">10. 参考文献</w:t>
      </w:r>
    </w:p>
    <w:p>
      <w:pPr>
        <w:pStyle w:val="Heading3"/>
        <w:spacing w:after="120" w:before="240"/>
      </w:pPr>
      <w:r>
        <w:rPr>
          <w:rFonts w:ascii="游ゴシック" w:cs="游ゴシック" w:eastAsia="游ゴシック" w:hAnsi="游ゴシック"/>
          <w:b/>
          <w:bCs/>
          <w:sz w:val="24"/>
          <w:szCs w:val="24"/>
        </w:rPr>
        <w:t xml:space="preserve">無菌性膿尿（Sterile Pyuria）</w:t>
      </w:r>
    </w:p>
    <w:p>
      <w:pPr>
        <w:pStyle w:val="ListParagraph"/>
        <w:numPr>
          <w:ilvl w:val="0"/>
          <w:numId w:val="3"/>
        </w:numPr>
        <w:spacing w:after="60" w:before="60"/>
      </w:pPr>
      <w:r>
        <w:rPr>
          <w:rFonts w:ascii="游明朝" w:cs="游明朝" w:eastAsia="游明朝" w:hAnsi="游明朝"/>
          <w:sz w:val="24"/>
          <w:szCs w:val="24"/>
        </w:rPr>
        <w:t xml:space="preserve">Wise GJ, Schlegel PN. Sterile pyuria. </w:t>
      </w:r>
      <w:r>
        <w:rPr>
          <w:rFonts w:ascii="游明朝" w:cs="游明朝" w:eastAsia="游明朝" w:hAnsi="游明朝"/>
          <w:b/>
          <w:bCs/>
          <w:sz w:val="24"/>
          <w:szCs w:val="24"/>
        </w:rPr>
        <w:t xml:space="preserve">N Engl J Med</w:t>
      </w:r>
      <w:r>
        <w:rPr>
          <w:rFonts w:ascii="游明朝" w:cs="游明朝" w:eastAsia="游明朝" w:hAnsi="游明朝"/>
          <w:sz w:val="24"/>
          <w:szCs w:val="24"/>
        </w:rPr>
        <w:t xml:space="preserve">. 2015;372(11):1048-54. PMID: 25760357. DOI: 10.1056/NEJMra1410052</w:t>
      </w:r>
    </w:p>
    <w:p>
      <w:pPr>
        <w:pStyle w:val="ListParagraph"/>
        <w:numPr>
          <w:ilvl w:val="0"/>
          <w:numId w:val="3"/>
        </w:numPr>
        <w:spacing w:after="60" w:before="60"/>
      </w:pPr>
      <w:r>
        <w:rPr>
          <w:rFonts w:ascii="游明朝" w:cs="游明朝" w:eastAsia="游明朝" w:hAnsi="游明朝"/>
          <w:sz w:val="24"/>
          <w:szCs w:val="24"/>
        </w:rPr>
        <w:t xml:space="preserve">Dieter RS. Sterile pyuria: a differential diagnosis. </w:t>
      </w:r>
      <w:r>
        <w:rPr>
          <w:rFonts w:ascii="游明朝" w:cs="游明朝" w:eastAsia="游明朝" w:hAnsi="游明朝"/>
          <w:b/>
          <w:bCs/>
          <w:sz w:val="24"/>
          <w:szCs w:val="24"/>
        </w:rPr>
        <w:t xml:space="preserve">Compr Ther</w:t>
      </w:r>
      <w:r>
        <w:rPr>
          <w:rFonts w:ascii="游明朝" w:cs="游明朝" w:eastAsia="游明朝" w:hAnsi="游明朝"/>
          <w:sz w:val="24"/>
          <w:szCs w:val="24"/>
        </w:rPr>
        <w:t xml:space="preserve">. 2000;26(3):150-2. PMID: 10984817. DOI: 10.1007/s12019-000-0001-2</w:t>
      </w:r>
    </w:p>
    <w:p>
      <w:pPr>
        <w:pStyle w:val="ListParagraph"/>
        <w:numPr>
          <w:ilvl w:val="0"/>
          <w:numId w:val="3"/>
        </w:numPr>
        <w:spacing w:after="60" w:before="60"/>
      </w:pPr>
      <w:r>
        <w:rPr>
          <w:rFonts w:ascii="游明朝" w:cs="游明朝" w:eastAsia="游明朝" w:hAnsi="游明朝"/>
          <w:sz w:val="24"/>
          <w:szCs w:val="24"/>
        </w:rPr>
        <w:t xml:space="preserve">Mian A et al. A case of sterile pyuria caused by Chlamydia trachomatis and Mycoplasma hominis: A diagnostic challenge. </w:t>
      </w:r>
      <w:r>
        <w:rPr>
          <w:rFonts w:ascii="游明朝" w:cs="游明朝" w:eastAsia="游明朝" w:hAnsi="游明朝"/>
          <w:b/>
          <w:bCs/>
          <w:sz w:val="24"/>
          <w:szCs w:val="24"/>
        </w:rPr>
        <w:t xml:space="preserve">Indian J Med Microbiol</w:t>
      </w:r>
      <w:r>
        <w:rPr>
          <w:rFonts w:ascii="游明朝" w:cs="游明朝" w:eastAsia="游明朝" w:hAnsi="游明朝"/>
          <w:sz w:val="24"/>
          <w:szCs w:val="24"/>
        </w:rPr>
        <w:t xml:space="preserve">. 2017;35(3):436-8. PMID: 29063893. DOI: 10.4103/ijmm.IJMM_16_316</w:t>
      </w:r>
    </w:p>
    <w:p>
      <w:pPr>
        <w:pStyle w:val="Heading3"/>
        <w:spacing w:after="120" w:before="240"/>
      </w:pPr>
      <w:r>
        <w:rPr>
          <w:rFonts w:ascii="游ゴシック" w:cs="游ゴシック" w:eastAsia="游ゴシック" w:hAnsi="游ゴシック"/>
          <w:b/>
          <w:bCs/>
          <w:sz w:val="24"/>
          <w:szCs w:val="24"/>
        </w:rPr>
        <w:t xml:space="preserve">事前抗菌薬投与の影響</w:t>
      </w:r>
    </w:p>
    <w:p>
      <w:pPr>
        <w:pStyle w:val="ListParagraph"/>
        <w:numPr>
          <w:ilvl w:val="0"/>
          <w:numId w:val="3"/>
        </w:numPr>
        <w:spacing w:after="60" w:before="60"/>
      </w:pPr>
      <w:r>
        <w:rPr>
          <w:rFonts w:ascii="游明朝" w:cs="游明朝" w:eastAsia="游明朝" w:hAnsi="游明朝"/>
          <w:sz w:val="24"/>
          <w:szCs w:val="24"/>
        </w:rPr>
        <w:t xml:space="preserve">Jadhav VB et al. Impact of Pre-Existing Urinary Antimicrobial Agents on Culture Yield, Diagnostic Accuracy, and the Detection of Significant Bacteriuria in Community-Acquired UTIs. </w:t>
      </w:r>
      <w:r>
        <w:rPr>
          <w:rFonts w:ascii="游明朝" w:cs="游明朝" w:eastAsia="游明朝" w:hAnsi="游明朝"/>
          <w:b/>
          <w:bCs/>
          <w:sz w:val="24"/>
          <w:szCs w:val="24"/>
        </w:rPr>
        <w:t xml:space="preserve">Cureus</w:t>
      </w:r>
      <w:r>
        <w:rPr>
          <w:rFonts w:ascii="游明朝" w:cs="游明朝" w:eastAsia="游明朝" w:hAnsi="游明朝"/>
          <w:sz w:val="24"/>
          <w:szCs w:val="24"/>
        </w:rPr>
        <w:t xml:space="preserve">. 2025;17(5). PMID: 40510091. PMC: 12161482</w:t>
      </w:r>
    </w:p>
    <w:p>
      <w:pPr>
        <w:pStyle w:val="Heading3"/>
        <w:spacing w:after="120" w:before="240"/>
      </w:pPr>
      <w:r>
        <w:rPr>
          <w:rFonts w:ascii="游ゴシック" w:cs="游ゴシック" w:eastAsia="游ゴシック" w:hAnsi="游ゴシック"/>
          <w:b/>
          <w:bCs/>
          <w:sz w:val="24"/>
          <w:szCs w:val="24"/>
        </w:rPr>
        <w:t xml:space="preserve">分子診断法</w:t>
      </w:r>
    </w:p>
    <w:p>
      <w:pPr>
        <w:pStyle w:val="ListParagraph"/>
        <w:numPr>
          <w:ilvl w:val="0"/>
          <w:numId w:val="3"/>
        </w:numPr>
        <w:spacing w:after="60" w:before="60"/>
      </w:pPr>
      <w:r>
        <w:rPr>
          <w:rFonts w:ascii="游明朝" w:cs="游明朝" w:eastAsia="游明朝" w:hAnsi="游明朝"/>
          <w:sz w:val="24"/>
          <w:szCs w:val="24"/>
        </w:rPr>
        <w:t xml:space="preserve">Chang Z et al. Rapid and accurate diagnosis of UTI using targeted NGS: A multicenter comparative study. </w:t>
      </w:r>
      <w:r>
        <w:rPr>
          <w:rFonts w:ascii="游明朝" w:cs="游明朝" w:eastAsia="游明朝" w:hAnsi="游明朝"/>
          <w:b/>
          <w:bCs/>
          <w:sz w:val="24"/>
          <w:szCs w:val="24"/>
        </w:rPr>
        <w:t xml:space="preserve">J Infect</w:t>
      </w:r>
      <w:r>
        <w:rPr>
          <w:rFonts w:ascii="游明朝" w:cs="游明朝" w:eastAsia="游明朝" w:hAnsi="游明朝"/>
          <w:sz w:val="24"/>
          <w:szCs w:val="24"/>
        </w:rPr>
        <w:t xml:space="preserve">. 2025;90:106432. PMID: 40058503. DOI: 10.1016/j.jinf.2025.106432</w:t>
      </w:r>
    </w:p>
    <w:p>
      <w:pPr>
        <w:pStyle w:val="ListParagraph"/>
        <w:numPr>
          <w:ilvl w:val="0"/>
          <w:numId w:val="3"/>
        </w:numPr>
        <w:spacing w:after="60" w:before="60"/>
      </w:pPr>
      <w:r>
        <w:rPr>
          <w:rFonts w:ascii="游明朝" w:cs="游明朝" w:eastAsia="游明朝" w:hAnsi="游明朝"/>
          <w:sz w:val="24"/>
          <w:szCs w:val="24"/>
        </w:rPr>
        <w:t xml:space="preserve">Zhao M et al. Comparison of PCR and NGS with conventional urine culture for UTI diagnosis: A meta-analysis. </w:t>
      </w:r>
      <w:r>
        <w:rPr>
          <w:rFonts w:ascii="游明朝" w:cs="游明朝" w:eastAsia="游明朝" w:hAnsi="游明朝"/>
          <w:b/>
          <w:bCs/>
          <w:sz w:val="24"/>
          <w:szCs w:val="24"/>
        </w:rPr>
        <w:t xml:space="preserve">Open Med</w:t>
      </w:r>
      <w:r>
        <w:rPr>
          <w:rFonts w:ascii="游明朝" w:cs="游明朝" w:eastAsia="游明朝" w:hAnsi="游明朝"/>
          <w:sz w:val="24"/>
          <w:szCs w:val="24"/>
        </w:rPr>
        <w:t xml:space="preserve">. 2024;19:20230880. PMID: 38584848. PMC: 10996999. DOI: 10.1515/med-2023-0880</w:t>
      </w:r>
    </w:p>
    <w:p>
      <w:pPr>
        <w:pStyle w:val="ListParagraph"/>
        <w:numPr>
          <w:ilvl w:val="0"/>
          <w:numId w:val="3"/>
        </w:numPr>
        <w:spacing w:after="60" w:before="60"/>
      </w:pPr>
      <w:r>
        <w:rPr>
          <w:rFonts w:ascii="游明朝" w:cs="游明朝" w:eastAsia="游明朝" w:hAnsi="游明朝"/>
          <w:sz w:val="24"/>
          <w:szCs w:val="24"/>
        </w:rPr>
        <w:t xml:space="preserve">Fritzenwanker M et al. Modern diagnostic methods for UTI. </w:t>
      </w:r>
      <w:r>
        <w:rPr>
          <w:rFonts w:ascii="游明朝" w:cs="游明朝" w:eastAsia="游明朝" w:hAnsi="游明朝"/>
          <w:b/>
          <w:bCs/>
          <w:sz w:val="24"/>
          <w:szCs w:val="24"/>
        </w:rPr>
        <w:t xml:space="preserve">Expert Rev Anti Infect Ther</w:t>
      </w:r>
      <w:r>
        <w:rPr>
          <w:rFonts w:ascii="游明朝" w:cs="游明朝" w:eastAsia="游明朝" w:hAnsi="游明朝"/>
          <w:sz w:val="24"/>
          <w:szCs w:val="24"/>
        </w:rPr>
        <w:t xml:space="preserve">. 2016;14(11):1047-63. PMID: 27624932. DOI: 10.1080/14787210.2016.1236683</w:t>
      </w:r>
    </w:p>
    <w:p>
      <w:pPr>
        <w:pStyle w:val="Heading3"/>
        <w:spacing w:after="120" w:before="240"/>
      </w:pPr>
      <w:r>
        <w:rPr>
          <w:rFonts w:ascii="游ゴシック" w:cs="游ゴシック" w:eastAsia="游ゴシック" w:hAnsi="游ゴシック"/>
          <w:b/>
          <w:bCs/>
          <w:sz w:val="24"/>
          <w:szCs w:val="24"/>
        </w:rPr>
        <w:t xml:space="preserve">プロカルシトニン</w:t>
      </w:r>
    </w:p>
    <w:p>
      <w:pPr>
        <w:pStyle w:val="ListParagraph"/>
        <w:numPr>
          <w:ilvl w:val="0"/>
          <w:numId w:val="3"/>
        </w:numPr>
        <w:spacing w:after="60" w:before="60"/>
      </w:pPr>
      <w:r>
        <w:rPr>
          <w:rFonts w:ascii="游明朝" w:cs="游明朝" w:eastAsia="游明朝" w:hAnsi="游明朝"/>
          <w:sz w:val="24"/>
          <w:szCs w:val="24"/>
        </w:rPr>
        <w:t xml:space="preserve">Choi JJ et al. The Diagnostic Accuracy of Procalcitonin for UTI in Hospitalized Older Adults: a Prospective Study. </w:t>
      </w:r>
      <w:r>
        <w:rPr>
          <w:rFonts w:ascii="游明朝" w:cs="游明朝" w:eastAsia="游明朝" w:hAnsi="游明朝"/>
          <w:b/>
          <w:bCs/>
          <w:sz w:val="24"/>
          <w:szCs w:val="24"/>
        </w:rPr>
        <w:t xml:space="preserve">J Gen Intern Med</w:t>
      </w:r>
      <w:r>
        <w:rPr>
          <w:rFonts w:ascii="游明朝" w:cs="游明朝" w:eastAsia="游明朝" w:hAnsi="游明朝"/>
          <w:sz w:val="24"/>
          <w:szCs w:val="24"/>
        </w:rPr>
        <w:t xml:space="preserve">. 2022;37(14):3567-73. PMID: 34997392. PMC: 8741546. DOI: 10.1007/s11606-021-07272-z</w:t>
      </w:r>
    </w:p>
    <w:p>
      <w:pPr>
        <w:pStyle w:val="ListParagraph"/>
        <w:numPr>
          <w:ilvl w:val="0"/>
          <w:numId w:val="3"/>
        </w:numPr>
        <w:spacing w:after="60" w:before="60"/>
      </w:pPr>
      <w:r>
        <w:rPr>
          <w:rFonts w:ascii="游明朝" w:cs="游明朝" w:eastAsia="游明朝" w:hAnsi="游明朝"/>
          <w:sz w:val="24"/>
          <w:szCs w:val="24"/>
        </w:rPr>
        <w:t xml:space="preserve">van Nieuwkoop C et al. Procalcitonin reflects bacteremia and bacterial load in urosepsis syndrome. </w:t>
      </w:r>
      <w:r>
        <w:rPr>
          <w:rFonts w:ascii="游明朝" w:cs="游明朝" w:eastAsia="游明朝" w:hAnsi="游明朝"/>
          <w:b/>
          <w:bCs/>
          <w:sz w:val="24"/>
          <w:szCs w:val="24"/>
        </w:rPr>
        <w:t xml:space="preserve">Crit Care</w:t>
      </w:r>
      <w:r>
        <w:rPr>
          <w:rFonts w:ascii="游明朝" w:cs="游明朝" w:eastAsia="游明朝" w:hAnsi="游明朝"/>
          <w:sz w:val="24"/>
          <w:szCs w:val="24"/>
        </w:rPr>
        <w:t xml:space="preserve">. 2010;14(6):R206. PMID: 21083886. PMC: 3220019. DOI: 10.1186/cc9328</w:t>
      </w:r>
    </w:p>
    <w:p>
      <w:pPr>
        <w:pStyle w:val="ListParagraph"/>
        <w:numPr>
          <w:ilvl w:val="0"/>
          <w:numId w:val="3"/>
        </w:numPr>
        <w:spacing w:after="60" w:before="60"/>
      </w:pPr>
      <w:r>
        <w:rPr>
          <w:rFonts w:ascii="游明朝" w:cs="游明朝" w:eastAsia="游明朝" w:hAnsi="游明朝"/>
          <w:sz w:val="24"/>
          <w:szCs w:val="24"/>
        </w:rPr>
        <w:t xml:space="preserve">Rothe K et al. A diagnostic algorithm for detection of UTI in hospitalized patients with bacteriuria: The "Triple F" approach. </w:t>
      </w:r>
      <w:r>
        <w:rPr>
          <w:rFonts w:ascii="游明朝" w:cs="游明朝" w:eastAsia="游明朝" w:hAnsi="游明朝"/>
          <w:b/>
          <w:bCs/>
          <w:sz w:val="24"/>
          <w:szCs w:val="24"/>
        </w:rPr>
        <w:t xml:space="preserve">PLoS One</w:t>
      </w:r>
      <w:r>
        <w:rPr>
          <w:rFonts w:ascii="游明朝" w:cs="游明朝" w:eastAsia="游明朝" w:hAnsi="游明朝"/>
          <w:sz w:val="24"/>
          <w:szCs w:val="24"/>
        </w:rPr>
        <w:t xml:space="preserve">. 2020;15(11):e0241534. PMID: 33091046. PMC: 7580978. DOI: 10.1371/journal.pone.0241534</w:t>
      </w:r>
    </w:p>
    <w:p>
      <w:pPr>
        <w:pStyle w:val="Heading3"/>
        <w:spacing w:after="120" w:before="240"/>
      </w:pPr>
      <w:r>
        <w:rPr>
          <w:rFonts w:ascii="游ゴシック" w:cs="游ゴシック" w:eastAsia="游ゴシック" w:hAnsi="游ゴシック"/>
          <w:b/>
          <w:bCs/>
          <w:sz w:val="24"/>
          <w:szCs w:val="24"/>
        </w:rPr>
        <w:t xml:space="preserve">臨床診断とUTI定義</w:t>
      </w:r>
    </w:p>
    <w:p>
      <w:pPr>
        <w:pStyle w:val="ListParagraph"/>
        <w:numPr>
          <w:ilvl w:val="0"/>
          <w:numId w:val="3"/>
        </w:numPr>
        <w:spacing w:after="60" w:before="60"/>
      </w:pPr>
      <w:r>
        <w:rPr>
          <w:rFonts w:ascii="游明朝" w:cs="游明朝" w:eastAsia="游明朝" w:hAnsi="游明朝"/>
          <w:sz w:val="24"/>
          <w:szCs w:val="24"/>
        </w:rPr>
        <w:t xml:space="preserve">Hertz MA et al. Clinical characteristics, factors associated with UTI and outcome in acutely admitted patients. </w:t>
      </w:r>
      <w:r>
        <w:rPr>
          <w:rFonts w:ascii="游明朝" w:cs="游明朝" w:eastAsia="游明朝" w:hAnsi="游明朝"/>
          <w:b/>
          <w:bCs/>
          <w:sz w:val="24"/>
          <w:szCs w:val="24"/>
        </w:rPr>
        <w:t xml:space="preserve">Heliyon</w:t>
      </w:r>
      <w:r>
        <w:rPr>
          <w:rFonts w:ascii="游明朝" w:cs="游明朝" w:eastAsia="游明朝" w:hAnsi="游明朝"/>
          <w:sz w:val="24"/>
          <w:szCs w:val="24"/>
        </w:rPr>
        <w:t xml:space="preserve">. 2024;10(12):e32827. PMID: 38984294. PMC: 11231541. DOI: 10.1016/j.heliyon.2024.e32827</w:t>
      </w:r>
    </w:p>
    <w:p>
      <w:pPr>
        <w:spacing w:after="300" w:before="300"/>
      </w:pPr>
    </w:p>
    <w:p>
      <w:pPr>
        <w:spacing w:after="100" w:before="100"/>
      </w:pPr>
      <w:r>
        <w:rPr>
          <w:rFonts w:ascii="游明朝" w:cs="游明朝" w:eastAsia="游明朝" w:hAnsi="游明朝"/>
          <w:i/>
          <w:iCs/>
          <w:sz w:val="24"/>
          <w:szCs w:val="24"/>
        </w:rPr>
        <w:t xml:space="preserve">本文書は臨床教育目的で作成されたものであり、個別の患者の治療方針を規定するものではない。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666666"/>
        <w:sz w:val="18"/>
        <w:szCs w:val="18"/>
      </w:rPr>
      <w:t xml:space="preserve">おもろまちメディカルセンター 内科/呼吸器内科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2026-03-19T23:37:22.193Z</dcterms:created>
  <dcterms:modified xsi:type="dcterms:W3CDTF">2026-03-19T23:37:22.193Z</dcterms:modified>
</cp:coreProperties>
</file>

<file path=docProps/custom.xml><?xml version="1.0" encoding="utf-8"?>
<Properties xmlns="http://schemas.openxmlformats.org/officeDocument/2006/custom-properties" xmlns:vt="http://schemas.openxmlformats.org/officeDocument/2006/docPropsVTypes"/>
</file>