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3a07880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救急搬送後患者割合 — 基準の 3.5〜4.1 倍</w:t>
      </w:r>
    </w:p>
    <w:p>
      <w:r>
        <w:rPr>
          <w:rFonts w:ascii="Hiragino Kaku Gothic ProN" w:hAnsi="Hiragino Kaku Gothic ProN" w:eastAsia="Hiragino Kaku Gothic ProN" w:cs="Hiragino Kaku Gothic ProN"/>
          <w:b w:val="0"/>
          <w:i w:val="0"/>
          <w:sz w:val="22"/>
        </w:rPr>
        <w:t>制度基準は 15% 以上ですが、当院の 2025 年度通年実績はこうです: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病棟</w:t>
            </w:r>
          </w:p>
        </w:tc>
        <w:tc>
          <w:tcPr>
            <w:tcW w:type="dxa" w:w="1994"/>
            <w:vAlign w:val="center"/>
          </w:tcPr>
          <w:p>
            <w:r>
              <w:rPr>
                <w:b/>
              </w:rPr>
            </w:r>
            <w:r>
              <w:rPr>
                <w:rFonts w:ascii="Hiragino Kaku Gothic ProN" w:hAnsi="Hiragino Kaku Gothic ProN" w:eastAsia="Hiragino Kaku Gothic ProN" w:cs="Hiragino Kaku Gothic ProN"/>
                <w:b/>
                <w:i w:val="0"/>
                <w:sz w:val="20"/>
              </w:rPr>
              <w:t>総入院数</w:t>
            </w:r>
          </w:p>
        </w:tc>
        <w:tc>
          <w:tcPr>
            <w:tcW w:type="dxa" w:w="1994"/>
            <w:vAlign w:val="center"/>
          </w:tcPr>
          <w:p>
            <w:r>
              <w:rPr>
                <w:b/>
              </w:rPr>
            </w:r>
            <w:r>
              <w:rPr>
                <w:rFonts w:ascii="Hiragino Kaku Gothic ProN" w:hAnsi="Hiragino Kaku Gothic ProN" w:eastAsia="Hiragino Kaku Gothic ProN" w:cs="Hiragino Kaku Gothic ProN"/>
                <w:b/>
                <w:i w:val="0"/>
                <w:sz w:val="20"/>
              </w:rPr>
              <w:t>救急搬送</w:t>
            </w:r>
          </w:p>
        </w:tc>
        <w:tc>
          <w:tcPr>
            <w:tcW w:type="dxa" w:w="1994"/>
            <w:vAlign w:val="center"/>
          </w:tcPr>
          <w:p>
            <w:r>
              <w:rPr>
                <w:b/>
              </w:rPr>
            </w:r>
            <w:r>
              <w:rPr>
                <w:rFonts w:ascii="Hiragino Kaku Gothic ProN" w:hAnsi="Hiragino Kaku Gothic ProN" w:eastAsia="Hiragino Kaku Gothic ProN" w:cs="Hiragino Kaku Gothic ProN"/>
                <w:b/>
                <w:i w:val="0"/>
                <w:sz w:val="20"/>
              </w:rPr>
              <w:t>通年救急率</w:t>
            </w:r>
          </w:p>
        </w:tc>
        <w:tc>
          <w:tcPr>
            <w:tcW w:type="dxa" w:w="1994"/>
            <w:vAlign w:val="center"/>
          </w:tcPr>
          <w:p>
            <w:r>
              <w:rPr>
                <w:b/>
              </w:rPr>
            </w:r>
            <w:r>
              <w:rPr>
                <w:rFonts w:ascii="Hiragino Kaku Gothic ProN" w:hAnsi="Hiragino Kaku Gothic ProN" w:eastAsia="Hiragino Kaku Gothic ProN" w:cs="Hiragino Kaku Gothic ProN"/>
                <w:b/>
                <w:i w:val="0"/>
                <w:sz w:val="20"/>
              </w:rPr>
              <w:t>基準との差</w:t>
            </w:r>
          </w:p>
        </w:tc>
      </w:tr>
      <w:tr>
        <w:tc>
          <w:tcPr>
            <w:tcW w:type="dxa" w:w="1994"/>
            <w:vAlign w:val="center"/>
          </w:tcPr>
          <w:p>
            <w:r/>
            <w:r>
              <w:rPr>
                <w:rFonts w:ascii="Hiragino Kaku Gothic ProN" w:hAnsi="Hiragino Kaku Gothic ProN" w:eastAsia="Hiragino Kaku Gothic ProN" w:cs="Hiragino Kaku Gothic ProN"/>
                <w:b w:val="0"/>
                <w:i w:val="0"/>
                <w:sz w:val="20"/>
              </w:rPr>
              <w:t>5F(外科・整形)</w:t>
            </w:r>
          </w:p>
        </w:tc>
        <w:tc>
          <w:tcPr>
            <w:tcW w:type="dxa" w:w="1994"/>
            <w:vAlign w:val="center"/>
          </w:tcPr>
          <w:p>
            <w:r/>
            <w:r>
              <w:rPr>
                <w:rFonts w:ascii="Hiragino Kaku Gothic ProN" w:hAnsi="Hiragino Kaku Gothic ProN" w:eastAsia="Hiragino Kaku Gothic ProN" w:cs="Hiragino Kaku Gothic ProN"/>
                <w:b w:val="0"/>
                <w:i w:val="0"/>
                <w:sz w:val="20"/>
              </w:rPr>
              <w:t>951</w:t>
            </w:r>
          </w:p>
        </w:tc>
        <w:tc>
          <w:tcPr>
            <w:tcW w:type="dxa" w:w="1994"/>
            <w:vAlign w:val="center"/>
          </w:tcPr>
          <w:p>
            <w:r/>
            <w:r>
              <w:rPr>
                <w:rFonts w:ascii="Hiragino Kaku Gothic ProN" w:hAnsi="Hiragino Kaku Gothic ProN" w:eastAsia="Hiragino Kaku Gothic ProN" w:cs="Hiragino Kaku Gothic ProN"/>
                <w:b w:val="0"/>
                <w:i w:val="0"/>
                <w:sz w:val="20"/>
              </w:rPr>
              <w:t>505</w:t>
            </w:r>
          </w:p>
        </w:tc>
        <w:tc>
          <w:tcPr>
            <w:tcW w:type="dxa" w:w="1994"/>
            <w:vAlign w:val="center"/>
          </w:tcPr>
          <w:p>
            <w:r/>
            <w:r>
              <w:rPr>
                <w:rFonts w:ascii="Hiragino Kaku Gothic ProN" w:hAnsi="Hiragino Kaku Gothic ProN" w:eastAsia="Hiragino Kaku Gothic ProN" w:cs="Hiragino Kaku Gothic ProN"/>
                <w:b/>
                <w:i w:val="0"/>
                <w:sz w:val="20"/>
              </w:rPr>
              <w:t>53.1%</w:t>
            </w:r>
          </w:p>
        </w:tc>
        <w:tc>
          <w:tcPr>
            <w:tcW w:type="dxa" w:w="1994"/>
            <w:vAlign w:val="center"/>
          </w:tcPr>
          <w:p>
            <w:r/>
            <w:r>
              <w:rPr>
                <w:rFonts w:ascii="Hiragino Kaku Gothic ProN" w:hAnsi="Hiragino Kaku Gothic ProN" w:eastAsia="Hiragino Kaku Gothic ProN" w:cs="Hiragino Kaku Gothic ProN"/>
                <w:b w:val="0"/>
                <w:i w:val="0"/>
                <w:sz w:val="20"/>
              </w:rPr>
              <w:t>+38.1pt</w:t>
            </w:r>
          </w:p>
        </w:tc>
      </w:tr>
      <w:tr>
        <w:tc>
          <w:tcPr>
            <w:tcW w:type="dxa" w:w="1994"/>
            <w:vAlign w:val="center"/>
          </w:tcPr>
          <w:p>
            <w:r/>
            <w:r>
              <w:rPr>
                <w:rFonts w:ascii="Hiragino Kaku Gothic ProN" w:hAnsi="Hiragino Kaku Gothic ProN" w:eastAsia="Hiragino Kaku Gothic ProN" w:cs="Hiragino Kaku Gothic ProN"/>
                <w:b w:val="0"/>
                <w:i w:val="0"/>
                <w:sz w:val="20"/>
              </w:rPr>
              <w:t>6F(内科・ペイン)</w:t>
            </w:r>
          </w:p>
        </w:tc>
        <w:tc>
          <w:tcPr>
            <w:tcW w:type="dxa" w:w="1994"/>
            <w:vAlign w:val="center"/>
          </w:tcPr>
          <w:p>
            <w:r/>
            <w:r>
              <w:rPr>
                <w:rFonts w:ascii="Hiragino Kaku Gothic ProN" w:hAnsi="Hiragino Kaku Gothic ProN" w:eastAsia="Hiragino Kaku Gothic ProN" w:cs="Hiragino Kaku Gothic ProN"/>
                <w:b w:val="0"/>
                <w:i w:val="0"/>
                <w:sz w:val="20"/>
              </w:rPr>
              <w:t>996</w:t>
            </w:r>
          </w:p>
        </w:tc>
        <w:tc>
          <w:tcPr>
            <w:tcW w:type="dxa" w:w="1994"/>
            <w:vAlign w:val="center"/>
          </w:tcPr>
          <w:p>
            <w:r/>
            <w:r>
              <w:rPr>
                <w:rFonts w:ascii="Hiragino Kaku Gothic ProN" w:hAnsi="Hiragino Kaku Gothic ProN" w:eastAsia="Hiragino Kaku Gothic ProN" w:cs="Hiragino Kaku Gothic ProN"/>
                <w:b w:val="0"/>
                <w:i w:val="0"/>
                <w:sz w:val="20"/>
              </w:rPr>
              <w:t>609</w:t>
            </w:r>
          </w:p>
        </w:tc>
        <w:tc>
          <w:tcPr>
            <w:tcW w:type="dxa" w:w="1994"/>
            <w:vAlign w:val="center"/>
          </w:tcPr>
          <w:p>
            <w:r/>
            <w:r>
              <w:rPr>
                <w:rFonts w:ascii="Hiragino Kaku Gothic ProN" w:hAnsi="Hiragino Kaku Gothic ProN" w:eastAsia="Hiragino Kaku Gothic ProN" w:cs="Hiragino Kaku Gothic ProN"/>
                <w:b/>
                <w:i w:val="0"/>
                <w:sz w:val="20"/>
              </w:rPr>
              <w:t>61.1%</w:t>
            </w:r>
          </w:p>
        </w:tc>
        <w:tc>
          <w:tcPr>
            <w:tcW w:type="dxa" w:w="199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基準の約 3.5〜4.1 倍を安定して維持しています。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月)でも:</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rolling 判定に切り替わっても、余力は圧倒的です。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救急率: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(基準 15% の 3.5〜4.1 倍)</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&lt;!-- qa-skip --&gt;（従来型の問題イメージ）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&lt;!-- qa-skip --&gt;（近似式の仮定値）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救急搬送後割合は基準の 3.5〜4.1 倍</w:t>
      </w:r>
      <w:r>
        <w:rPr>
          <w:rFonts w:ascii="Hiragino Kaku Gothic ProN" w:hAnsi="Hiragino Kaku Gothic ProN" w:eastAsia="Hiragino Kaku Gothic ProN" w:cs="Hiragino Kaku Gothic ProN"/>
          <w:b w:val="0"/>
          <w:i w:val="0"/>
          <w:sz w:val="22"/>
        </w:rPr>
        <w:t>: 5F 53.1% / 6F 61.1% に対し基準は 15%。rolling 3 ヶ月でも 5F 54.4% / 6F 60.1% と安定しています。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試算しました。現在の救急搬送後割合は 5F 53.1% / 6F 61.1% で、基準 15% の 3.5〜4.1 倍です。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ヶ月に当てはめると、救急率は約 3〜5pt 低下する見込みです。</w:t>
      </w:r>
      <w:r>
        <w:rPr>
          <w:rFonts w:ascii="Hiragino Kaku Gothic ProN" w:hAnsi="Hiragino Kaku Gothic ProN" w:eastAsia="Hiragino Kaku Gothic ProN" w:cs="Hiragino Kaku Gothic ProN"/>
          <w:b/>
          <w:i w:val="0"/>
          <w:sz w:val="22"/>
        </w:rPr>
        <w:t>それでも 50% 以上の水準は維持されます。</w:t>
      </w:r>
    </w:p>
    <w:p>
      <w:r>
        <w:rPr>
          <w:rFonts w:ascii="Hiragino Kaku Gothic ProN" w:hAnsi="Hiragino Kaku Gothic ProN" w:eastAsia="Hiragino Kaku Gothic ProN" w:cs="Hiragino Kaku Gothic ProN"/>
          <w:b w:val="0"/>
          <w:i w:val="0"/>
          <w:sz w:val="22"/>
        </w:rPr>
        <w:t>基準 15% には大幅な余力があるため、短手 3 増加は制度リスクなく進められます。ただし実際の増加は</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