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月平均稼働率 </w:t>
      </w:r>
      <w:r>
        <w:rPr>
          <w:rFonts w:ascii="游ゴシック" w:hAnsi="游ゴシック" w:eastAsia="游ゴシック"/>
          <w:b/>
          <w:color w:val="E74C3C"/>
          <w:sz w:val="22"/>
        </w:rPr>
        <w:t>89.5%</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マイナス0.5ポイント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この下の表を見てください。現ペース月末予測の運営貢献額が</w:t>
      </w:r>
      <w:r>
        <w:rPr>
          <w:rFonts w:ascii="游ゴシック" w:hAnsi="游ゴシック" w:eastAsia="游ゴシック"/>
          <w:b/>
          <w:color w:val="E74C3C"/>
          <w:sz w:val="22"/>
        </w:rPr>
        <w:t>7,158万円</w:t>
      </w:r>
      <w:r>
        <w:rPr>
          <w:rFonts w:ascii="游ゴシック" w:hAnsi="游ゴシック" w:eastAsia="游ゴシック"/>
          <w:b w:val="0"/>
          <w:color w:val="2C3E50"/>
          <w:sz w:val="22"/>
        </w:rPr>
        <w:t>。目標値（稼働率90%）なら</w:t>
      </w:r>
      <w:r>
        <w:rPr>
          <w:rFonts w:ascii="游ゴシック" w:hAnsi="游ゴシック" w:eastAsia="游ゴシック"/>
          <w:b/>
          <w:color w:val="E74C3C"/>
          <w:sz w:val="22"/>
        </w:rPr>
        <w:t>7,274万円</w:t>
      </w:r>
      <w:r>
        <w:rPr>
          <w:rFonts w:ascii="游ゴシック" w:hAnsi="游ゴシック" w:eastAsia="游ゴシック"/>
          <w:b w:val="0"/>
          <w:color w:val="2C3E50"/>
          <w:sz w:val="22"/>
        </w:rPr>
        <w:t>。その差額が</w:t>
      </w:r>
      <w:r>
        <w:rPr>
          <w:rFonts w:ascii="游ゴシック" w:hAnsi="游ゴシック" w:eastAsia="游ゴシック"/>
          <w:b/>
          <w:color w:val="E74C3C"/>
          <w:sz w:val="22"/>
        </w:rPr>
        <w:t>約116万円</w:t>
      </w:r>
      <w:r>
        <w:rPr>
          <w:rFonts w:ascii="游ゴシック" w:hAnsi="游ゴシック" w:eastAsia="游ゴシック"/>
          <w:b w:val="0"/>
          <w:color w:val="2C3E50"/>
          <w:sz w:val="22"/>
        </w:rPr>
        <w:t>です。</w:t>
      </w:r>
    </w:p>
    <w:p>
      <w:pPr>
        <w:spacing w:after="80" w:before="40"/>
        <w:ind w:left="283"/>
      </w:pPr>
      <w:r>
        <w:rPr>
          <w:rFonts w:ascii="游ゴシック" w:hAnsi="游ゴシック" w:eastAsia="游ゴシック"/>
          <w:b w:val="0"/>
          <w:color w:val="2C3E50"/>
          <w:sz w:val="22"/>
        </w:rPr>
        <w:t>💬 つまり、このまま現ペースを続けると、目標との差</w:t>
      </w:r>
      <w:r>
        <w:rPr>
          <w:rFonts w:ascii="游ゴシック" w:hAnsi="游ゴシック" w:eastAsia="游ゴシック"/>
          <w:b/>
          <w:color w:val="E74C3C"/>
          <w:sz w:val="22"/>
        </w:rPr>
        <w:t>116万円</w:t>
      </w:r>
      <w:r>
        <w:rPr>
          <w:rFonts w:ascii="游ゴシック" w:hAnsi="游ゴシック" w:eastAsia="游ゴシック"/>
          <w:b w:val="0"/>
          <w:color w:val="2C3E50"/>
          <w:sz w:val="22"/>
        </w:rPr>
        <w:t>が取り戻せない。逆に言えば、残り10日の動き方次第で、</w:t>
      </w:r>
      <w:r>
        <w:rPr>
          <w:rFonts w:ascii="游ゴシック" w:hAnsi="游ゴシック" w:eastAsia="游ゴシック"/>
          <w:b/>
          <w:color w:val="E74C3C"/>
          <w:sz w:val="22"/>
        </w:rPr>
        <w:t>116万円</w:t>
      </w:r>
      <w:r>
        <w:rPr>
          <w:rFonts w:ascii="游ゴシック" w:hAnsi="游ゴシック" w:eastAsia="游ゴシック"/>
          <w:b w:val="0"/>
          <w:color w:val="2C3E50"/>
          <w:sz w:val="22"/>
        </w:rPr>
        <w:t>を上乗せできる可能性がある。</w:t>
      </w:r>
    </w:p>
    <w:p>
      <w:pPr>
        <w:spacing w:after="80" w:before="80"/>
      </w:pPr>
      <w:r>
        <w:rPr>
          <w:rFonts w:ascii="游ゴシック" w:hAnsi="游ゴシック" w:eastAsia="游ゴシック"/>
          <w:b/>
          <w:color w:val="1E8449"/>
          <w:sz w:val="22"/>
        </w:rPr>
        <w:t>▶ 左サイドバーの「稼働率1%（≈1名の入院）の価値：年間1,199万円」を指す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年間約1,200万円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約2万9千円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約29万円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約116万円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21.4日」—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21.4日」の赤いdelta表示を見せる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+0.4日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21.4日は超過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、基準を</w:t>
      </w:r>
      <w:r>
        <w:rPr>
          <w:rFonts w:ascii="游ゴシック" w:hAnsi="游ゴシック" w:eastAsia="游ゴシック"/>
          <w:b/>
          <w:color w:val="E74C3C"/>
          <w:sz w:val="22"/>
        </w:rPr>
        <w:t>+0.4日超過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で推移していて、空床が常に4〜8床。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さらに。今の月平均稼働率89.5%を目標の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まで引き上げたらどうなるか。稼働率1%の年間価値は約1,200万円ですから、4.5ポイント改善で年間約</w:t>
      </w:r>
      <w:r>
        <w:rPr>
          <w:rFonts w:ascii="游ゴシック" w:hAnsi="游ゴシック" w:eastAsia="游ゴシック"/>
          <w:b/>
          <w:color w:val="E74C3C"/>
          <w:sz w:val="22"/>
        </w:rPr>
        <w:t>5,400万円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+5,400万円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+1億2,600万円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均等努力方式（Equal Effort） —「同じだけ頑張る」から始める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でも、「5Fだけ頑張れ」と言われたら、5Fのスタッフはどう感じるでしょうか？　不公平ですよね。</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稼働率90%</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このアプリには「均等努力方式（Equal Effort）」という考え方を組み込みました。キーワードは「平等感」です。</w:t>
      </w:r>
    </w:p>
    <w:p>
      <w:pPr>
        <w:spacing w:after="0" w:before="0"/>
      </w:pPr>
      <w:r>
        <w:rPr>
          <w:sz w:val="12"/>
        </w:rPr>
      </w:r>
    </w:p>
    <w:p>
      <w:pPr>
        <w:spacing w:after="80" w:before="40"/>
        <w:ind w:left="283"/>
      </w:pPr>
      <w:r>
        <w:rPr>
          <w:rFonts w:ascii="游ゴシック" w:hAnsi="游ゴシック" w:eastAsia="游ゴシック"/>
          <w:b w:val="0"/>
          <w:color w:val="2C3E50"/>
          <w:sz w:val="22"/>
        </w:rPr>
        <w:t>💬 考え方はシンプルです。全体目標を達成するために必要な上昇幅Δを計算し、</w:t>
      </w:r>
      <w:r>
        <w:rPr>
          <w:rFonts w:ascii="游ゴシック" w:hAnsi="游ゴシック" w:eastAsia="游ゴシック"/>
          <w:b/>
          <w:color w:val="E74C3C"/>
          <w:sz w:val="22"/>
        </w:rPr>
        <w:t>両方の病棟が同じだけ稼働率を上げる</w:t>
      </w:r>
      <w:r>
        <w:rPr>
          <w:rFonts w:ascii="游ゴシック" w:hAnsi="游ゴシック" w:eastAsia="游ゴシック"/>
          <w:b w:val="0"/>
          <w:color w:val="2C3E50"/>
          <w:sz w:val="22"/>
        </w:rPr>
        <w:t>。片方だけに負担を押し付けない。</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例えば今月、5Fの平均が</w:t>
      </w:r>
      <w:r>
        <w:rPr>
          <w:rFonts w:ascii="游ゴシック" w:hAnsi="游ゴシック" w:eastAsia="游ゴシック"/>
          <w:b/>
          <w:color w:val="E74C3C"/>
          <w:sz w:val="22"/>
        </w:rPr>
        <w:t>87%</w:t>
      </w:r>
      <w:r>
        <w:rPr>
          <w:rFonts w:ascii="游ゴシック" w:hAnsi="游ゴシック" w:eastAsia="游ゴシック"/>
          <w:b w:val="0"/>
          <w:color w:val="2C3E50"/>
          <w:sz w:val="22"/>
        </w:rPr>
        <w:t>、6Fの平均が</w:t>
      </w:r>
      <w:r>
        <w:rPr>
          <w:rFonts w:ascii="游ゴシック" w:hAnsi="游ゴシック" w:eastAsia="游ゴシック"/>
          <w:b/>
          <w:color w:val="1B4F72"/>
          <w:sz w:val="22"/>
        </w:rPr>
        <w:t>92%</w:t>
      </w:r>
      <w:r>
        <w:rPr>
          <w:rFonts w:ascii="游ゴシック" w:hAnsi="游ゴシック" w:eastAsia="游ゴシック"/>
          <w:b w:val="0"/>
          <w:color w:val="2C3E50"/>
          <w:sz w:val="22"/>
        </w:rPr>
        <w:t>だとします。全体を90%にするには、両病棟がそれぞれ</w:t>
      </w:r>
      <w:r>
        <w:rPr>
          <w:rFonts w:ascii="游ゴシック" w:hAnsi="游ゴシック" w:eastAsia="游ゴシック"/>
          <w:b/>
          <w:color w:val="E74C3C"/>
          <w:sz w:val="22"/>
        </w:rPr>
        <w:t>+1.6ポイント</w:t>
      </w:r>
      <w:r>
        <w:rPr>
          <w:rFonts w:ascii="游ゴシック" w:hAnsi="游ゴシック" w:eastAsia="游ゴシック"/>
          <w:b w:val="0"/>
          <w:color w:val="2C3E50"/>
          <w:sz w:val="22"/>
        </w:rPr>
        <w:t>ずつ上げればいい。5Fは88.6%へ、6Fは93.5%へ。全体で約90%達成です。</w:t>
      </w:r>
    </w:p>
    <w:p>
      <w:pPr>
        <w:spacing w:after="0" w:before="0"/>
      </w:pPr>
      <w:r>
        <w:rPr>
          <w:sz w:val="12"/>
        </w:rPr>
      </w:r>
    </w:p>
    <w:p>
      <w:pPr>
        <w:spacing w:after="80" w:before="40"/>
        <w:ind w:left="283"/>
      </w:pPr>
      <w:r>
        <w:rPr>
          <w:rFonts w:ascii="游ゴシック" w:hAnsi="游ゴシック" w:eastAsia="游ゴシック"/>
          <w:b w:val="0"/>
          <w:color w:val="2C3E50"/>
          <w:sz w:val="22"/>
        </w:rPr>
        <w:t>💬 「同じだけ頑張る」。これなら誰も文句は言えません。</w:t>
      </w:r>
    </w:p>
    <w:p>
      <w:pPr>
        <w:spacing w:after="0" w:before="0"/>
      </w:pPr>
      <w:r>
        <w:rPr>
          <w:sz w:val="12"/>
        </w:rPr>
      </w:r>
    </w:p>
    <w:p>
      <w:pPr>
        <w:spacing w:after="160"/>
      </w:pPr>
      <w:r>
        <w:rPr>
          <w:rFonts w:ascii="游ゴシック" w:hAnsi="游ゴシック" w:eastAsia="游ゴシック"/>
          <w:b/>
          <w:color w:val="1B4F72"/>
          <w:sz w:val="22"/>
        </w:rPr>
        <w:t>【操作】病棟セレクターで5Fまたは6Fを選択 → 均等努力テーブルが表示される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アプリでは、この均等努力テーブルが自動計算されます。上昇幅Δを変えた複数のシナリオが一覧で見えます。</w:t>
      </w:r>
    </w:p>
    <w:p>
      <w:pPr>
        <w:spacing w:after="0" w:before="0"/>
      </w:pPr>
      <w:r>
        <w:rPr>
          <w:sz w:val="12"/>
        </w:rPr>
      </w:r>
    </w:p>
    <w:tbl>
      <w:tblPr>
        <w:tblW w:type="auto" w:w="0"/>
        <w:jc w:val="center"/>
        <w:tblLook w:firstColumn="1" w:firstRow="1" w:lastColumn="0" w:lastRow="0" w:noHBand="0" w:noVBand="1" w:val="04A0"/>
        <w:tblW w:type="pct" w:w="4500"/>
      </w:tblPr>
      <w:tblGrid>
        <w:gridCol w:w="1814"/>
        <w:gridCol w:w="1814"/>
        <w:gridCol w:w="1814"/>
        <w:gridCol w:w="1814"/>
        <w:gridCol w:w="1814"/>
      </w:tblGrid>
      <w:tr>
        <w:tc>
          <w:tcPr>
            <w:tcW w:type="dxa" w:w="1814"/>
            <w:shd w:fill="DCE6F1" w:val="clear"/>
          </w:tcPr>
          <w:p>
            <w:pPr>
              <w:jc w:val="center"/>
            </w:pPr>
            <w:r/>
            <w:r>
              <w:rPr>
                <w:rFonts w:ascii="游ゴシック" w:hAnsi="游ゴシック" w:eastAsia="游ゴシック"/>
                <w:b/>
                <w:color w:val="1B4F72"/>
                <w:sz w:val="20"/>
              </w:rPr>
              <w:t>上昇幅Δ</w:t>
            </w:r>
          </w:p>
        </w:tc>
        <w:tc>
          <w:tcPr>
            <w:tcW w:type="dxa" w:w="1814"/>
            <w:shd w:fill="DCE6F1" w:val="clear"/>
          </w:tcPr>
          <w:p>
            <w:pPr>
              <w:jc w:val="center"/>
            </w:pPr>
            <w:r/>
            <w:r>
              <w:rPr>
                <w:rFonts w:ascii="游ゴシック" w:hAnsi="游ゴシック" w:eastAsia="游ゴシック"/>
                <w:b/>
                <w:color w:val="1B4F72"/>
                <w:sz w:val="20"/>
              </w:rPr>
              <w:t>5F目標</w:t>
            </w:r>
          </w:p>
        </w:tc>
        <w:tc>
          <w:tcPr>
            <w:tcW w:type="dxa" w:w="1814"/>
            <w:shd w:fill="DCE6F1" w:val="clear"/>
          </w:tcPr>
          <w:p>
            <w:pPr>
              <w:jc w:val="center"/>
            </w:pPr>
            <w:r/>
            <w:r>
              <w:rPr>
                <w:rFonts w:ascii="游ゴシック" w:hAnsi="游ゴシック" w:eastAsia="游ゴシック"/>
                <w:b/>
                <w:color w:val="1B4F72"/>
                <w:sz w:val="20"/>
              </w:rPr>
              <w:t>6F目標</w:t>
            </w:r>
          </w:p>
        </w:tc>
        <w:tc>
          <w:tcPr>
            <w:tcW w:type="dxa" w:w="1814"/>
            <w:shd w:fill="DCE6F1" w:val="clear"/>
          </w:tcPr>
          <w:p>
            <w:pPr>
              <w:jc w:val="center"/>
            </w:pPr>
            <w:r/>
            <w:r>
              <w:rPr>
                <w:rFonts w:ascii="游ゴシック" w:hAnsi="游ゴシック" w:eastAsia="游ゴシック"/>
                <w:b/>
                <w:color w:val="1B4F72"/>
                <w:sz w:val="20"/>
              </w:rPr>
              <w:t>全体</w:t>
            </w:r>
          </w:p>
        </w:tc>
        <w:tc>
          <w:tcPr>
            <w:tcW w:type="dxa" w:w="1814"/>
            <w:shd w:fill="DCE6F1" w:val="clear"/>
          </w:tcPr>
          <w:p>
            <w:pPr>
              <w:jc w:val="center"/>
            </w:pPr>
            <w:r/>
            <w:r>
              <w:rPr>
                <w:rFonts w:ascii="游ゴシック" w:hAnsi="游ゴシック" w:eastAsia="游ゴシック"/>
                <w:b/>
                <w:color w:val="1B4F72"/>
                <w:sz w:val="20"/>
              </w:rPr>
              <w:t>達成</w:t>
            </w:r>
          </w:p>
        </w:tc>
      </w:tr>
      <w:tr>
        <w:tc>
          <w:tcPr>
            <w:tcW w:type="dxa" w:w="1814"/>
          </w:tcPr>
          <w:p>
            <w:pPr>
              <w:jc w:val="center"/>
            </w:pPr>
            <w:r/>
            <w:r>
              <w:rPr>
                <w:rFonts w:ascii="游ゴシック" w:hAnsi="游ゴシック" w:eastAsia="游ゴシック"/>
                <w:b w:val="0"/>
                <w:color w:val="2C3E50"/>
                <w:sz w:val="20"/>
              </w:rPr>
              <w:t>+0.5pt</w:t>
            </w:r>
          </w:p>
        </w:tc>
        <w:tc>
          <w:tcPr>
            <w:tcW w:type="dxa" w:w="1814"/>
          </w:tcPr>
          <w:p>
            <w:pPr>
              <w:jc w:val="center"/>
            </w:pPr>
            <w:r/>
            <w:r>
              <w:rPr>
                <w:rFonts w:ascii="游ゴシック" w:hAnsi="游ゴシック" w:eastAsia="游ゴシック"/>
                <w:b w:val="0"/>
                <w:color w:val="2C3E50"/>
                <w:sz w:val="20"/>
              </w:rPr>
              <w:t>87.5%</w:t>
            </w:r>
          </w:p>
        </w:tc>
        <w:tc>
          <w:tcPr>
            <w:tcW w:type="dxa" w:w="1814"/>
          </w:tcPr>
          <w:p>
            <w:pPr>
              <w:jc w:val="center"/>
            </w:pPr>
            <w:r/>
            <w:r>
              <w:rPr>
                <w:rFonts w:ascii="游ゴシック" w:hAnsi="游ゴシック" w:eastAsia="游ゴシック"/>
                <w:b w:val="0"/>
                <w:color w:val="2C3E50"/>
                <w:sz w:val="20"/>
              </w:rPr>
              <w:t>92.4%</w:t>
            </w:r>
          </w:p>
        </w:tc>
        <w:tc>
          <w:tcPr>
            <w:tcW w:type="dxa" w:w="1814"/>
          </w:tcPr>
          <w:p>
            <w:pPr>
              <w:jc w:val="center"/>
            </w:pPr>
            <w:r/>
            <w:r>
              <w:rPr>
                <w:rFonts w:ascii="游ゴシック" w:hAnsi="游ゴシック" w:eastAsia="游ゴシック"/>
                <w:b w:val="0"/>
                <w:color w:val="2C3E50"/>
                <w:sz w:val="20"/>
              </w:rPr>
              <w:t>89.6%</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+1.0pt</w:t>
            </w:r>
          </w:p>
        </w:tc>
        <w:tc>
          <w:tcPr>
            <w:tcW w:type="dxa" w:w="1814"/>
          </w:tcPr>
          <w:p>
            <w:pPr>
              <w:jc w:val="center"/>
            </w:pPr>
            <w:r/>
            <w:r>
              <w:rPr>
                <w:rFonts w:ascii="游ゴシック" w:hAnsi="游ゴシック" w:eastAsia="游ゴシック"/>
                <w:b w:val="0"/>
                <w:color w:val="2C3E50"/>
                <w:sz w:val="20"/>
              </w:rPr>
              <w:t>88.0%</w:t>
            </w:r>
          </w:p>
        </w:tc>
        <w:tc>
          <w:tcPr>
            <w:tcW w:type="dxa" w:w="1814"/>
          </w:tcPr>
          <w:p>
            <w:pPr>
              <w:jc w:val="center"/>
            </w:pPr>
            <w:r/>
            <w:r>
              <w:rPr>
                <w:rFonts w:ascii="游ゴシック" w:hAnsi="游ゴシック" w:eastAsia="游ゴシック"/>
                <w:b w:val="0"/>
                <w:color w:val="2C3E50"/>
                <w:sz w:val="20"/>
              </w:rPr>
              <w:t>92.9%</w:t>
            </w:r>
          </w:p>
        </w:tc>
        <w:tc>
          <w:tcPr>
            <w:tcW w:type="dxa" w:w="1814"/>
          </w:tcPr>
          <w:p>
            <w:pPr>
              <w:jc w:val="center"/>
            </w:pPr>
            <w:r/>
            <w:r>
              <w:rPr>
                <w:rFonts w:ascii="游ゴシック" w:hAnsi="游ゴシック" w:eastAsia="游ゴシック"/>
                <w:b w:val="0"/>
                <w:color w:val="2C3E50"/>
                <w:sz w:val="20"/>
              </w:rPr>
              <w:t>89.8%</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color w:val="1E8449"/>
                <w:sz w:val="20"/>
              </w:rPr>
              <w:t>+1.6pt</w:t>
            </w:r>
          </w:p>
        </w:tc>
        <w:tc>
          <w:tcPr>
            <w:tcW w:type="dxa" w:w="1814"/>
          </w:tcPr>
          <w:p>
            <w:pPr>
              <w:jc w:val="center"/>
            </w:pPr>
            <w:r/>
            <w:r>
              <w:rPr>
                <w:rFonts w:ascii="游ゴシック" w:hAnsi="游ゴシック" w:eastAsia="游ゴシック"/>
                <w:b/>
                <w:color w:val="1E8449"/>
                <w:sz w:val="20"/>
              </w:rPr>
              <w:t>88.6%</w:t>
            </w:r>
          </w:p>
        </w:tc>
        <w:tc>
          <w:tcPr>
            <w:tcW w:type="dxa" w:w="1814"/>
          </w:tcPr>
          <w:p>
            <w:pPr>
              <w:jc w:val="center"/>
            </w:pPr>
            <w:r/>
            <w:r>
              <w:rPr>
                <w:rFonts w:ascii="游ゴシック" w:hAnsi="游ゴシック" w:eastAsia="游ゴシック"/>
                <w:b/>
                <w:color w:val="1E8449"/>
                <w:sz w:val="20"/>
              </w:rPr>
              <w:t>93.5%</w:t>
            </w:r>
          </w:p>
        </w:tc>
        <w:tc>
          <w:tcPr>
            <w:tcW w:type="dxa" w:w="1814"/>
          </w:tcPr>
          <w:p>
            <w:pPr>
              <w:jc w:val="center"/>
            </w:pPr>
            <w:r/>
            <w:r>
              <w:rPr>
                <w:rFonts w:ascii="游ゴシック" w:hAnsi="游ゴシック" w:eastAsia="游ゴシック"/>
                <w:b/>
                <w:color w:val="1E8449"/>
                <w:sz w:val="20"/>
              </w:rPr>
              <w:t>90.0%</w:t>
            </w:r>
          </w:p>
        </w:tc>
        <w:tc>
          <w:tcPr>
            <w:tcW w:type="dxa" w:w="1814"/>
          </w:tcPr>
          <w:p>
            <w:pPr>
              <w:jc w:val="center"/>
            </w:pPr>
            <w:r/>
            <w:r>
              <w:rPr>
                <w:rFonts w:ascii="游ゴシック" w:hAnsi="游ゴシック" w:eastAsia="游ゴシック"/>
                <w:b/>
                <w:color w:val="1E8449"/>
                <w:sz w:val="20"/>
              </w:rPr>
              <w:t>✅</w:t>
            </w:r>
          </w:p>
        </w:tc>
      </w:tr>
      <w:tr>
        <w:tc>
          <w:tcPr>
            <w:tcW w:type="dxa" w:w="1814"/>
          </w:tcPr>
          <w:p>
            <w:pPr>
              <w:jc w:val="center"/>
            </w:pPr>
            <w:r/>
            <w:r>
              <w:rPr>
                <w:rFonts w:ascii="游ゴシック" w:hAnsi="游ゴシック" w:eastAsia="游ゴシック"/>
                <w:b w:val="0"/>
                <w:color w:val="2C3E50"/>
                <w:sz w:val="20"/>
              </w:rPr>
              <w:t>+2.0pt</w:t>
            </w:r>
          </w:p>
        </w:tc>
        <w:tc>
          <w:tcPr>
            <w:tcW w:type="dxa" w:w="1814"/>
          </w:tcPr>
          <w:p>
            <w:pPr>
              <w:jc w:val="center"/>
            </w:pPr>
            <w:r/>
            <w:r>
              <w:rPr>
                <w:rFonts w:ascii="游ゴシック" w:hAnsi="游ゴシック" w:eastAsia="游ゴシック"/>
                <w:b w:val="0"/>
                <w:color w:val="2C3E50"/>
                <w:sz w:val="20"/>
              </w:rPr>
              <w:t>89.0%</w:t>
            </w:r>
          </w:p>
        </w:tc>
        <w:tc>
          <w:tcPr>
            <w:tcW w:type="dxa" w:w="1814"/>
          </w:tcPr>
          <w:p>
            <w:pPr>
              <w:jc w:val="center"/>
            </w:pPr>
            <w:r/>
            <w:r>
              <w:rPr>
                <w:rFonts w:ascii="游ゴシック" w:hAnsi="游ゴシック" w:eastAsia="游ゴシック"/>
                <w:b w:val="0"/>
                <w:color w:val="2C3E50"/>
                <w:sz w:val="20"/>
              </w:rPr>
              <w:t>93.9%</w:t>
            </w:r>
          </w:p>
        </w:tc>
        <w:tc>
          <w:tcPr>
            <w:tcW w:type="dxa" w:w="1814"/>
          </w:tcPr>
          <w:p>
            <w:pPr>
              <w:jc w:val="center"/>
            </w:pPr>
            <w:r/>
            <w:r>
              <w:rPr>
                <w:rFonts w:ascii="游ゴシック" w:hAnsi="游ゴシック" w:eastAsia="游ゴシック"/>
                <w:b w:val="0"/>
                <w:color w:val="2C3E50"/>
                <w:sz w:val="20"/>
              </w:rPr>
              <w:t>90.1%</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+4.0pt</w:t>
            </w:r>
          </w:p>
        </w:tc>
        <w:tc>
          <w:tcPr>
            <w:tcW w:type="dxa" w:w="1814"/>
          </w:tcPr>
          <w:p>
            <w:pPr>
              <w:jc w:val="center"/>
            </w:pPr>
            <w:r/>
            <w:r>
              <w:rPr>
                <w:rFonts w:ascii="游ゴシック" w:hAnsi="游ゴシック" w:eastAsia="游ゴシック"/>
                <w:b w:val="0"/>
                <w:color w:val="2C3E50"/>
                <w:sz w:val="20"/>
              </w:rPr>
              <w:t>91.0%</w:t>
            </w:r>
          </w:p>
        </w:tc>
        <w:tc>
          <w:tcPr>
            <w:tcW w:type="dxa" w:w="1814"/>
          </w:tcPr>
          <w:p>
            <w:pPr>
              <w:jc w:val="center"/>
            </w:pPr>
            <w:r/>
            <w:r>
              <w:rPr>
                <w:rFonts w:ascii="游ゴシック" w:hAnsi="游ゴシック" w:eastAsia="游ゴシック"/>
                <w:b w:val="0"/>
                <w:color w:val="2C3E50"/>
                <w:sz w:val="20"/>
              </w:rPr>
              <w:t>95.9%</w:t>
            </w:r>
          </w:p>
        </w:tc>
        <w:tc>
          <w:tcPr>
            <w:tcW w:type="dxa" w:w="1814"/>
          </w:tcPr>
          <w:p>
            <w:pPr>
              <w:jc w:val="center"/>
            </w:pPr>
            <w:r/>
            <w:r>
              <w:rPr>
                <w:rFonts w:ascii="游ゴシック" w:hAnsi="游ゴシック" w:eastAsia="游ゴシック"/>
                <w:b w:val="0"/>
                <w:color w:val="2C3E50"/>
                <w:sz w:val="20"/>
              </w:rPr>
              <w:t>90.8%</w:t>
            </w:r>
          </w:p>
        </w:tc>
        <w:tc>
          <w:tcPr>
            <w:tcW w:type="dxa" w:w="1814"/>
          </w:tcPr>
          <w:p>
            <w:pPr>
              <w:jc w:val="center"/>
            </w:pPr>
            <w:r/>
            <w:r>
              <w:rPr>
                <w:rFonts w:ascii="游ゴシック" w:hAnsi="游ゴシック" w:eastAsia="游ゴシック"/>
                <w:b w:val="0"/>
                <w:color w:val="2C3E50"/>
                <w:sz w:val="20"/>
              </w:rPr>
              <w:t>✅</w:t>
            </w:r>
          </w:p>
        </w:tc>
      </w:tr>
    </w:tbl>
    <w:p>
      <w:pPr>
        <w:spacing w:after="0" w:before="0"/>
      </w:pPr>
      <w:r>
        <w:rPr>
          <w:sz w:val="12"/>
        </w:rPr>
      </w:r>
    </w:p>
    <w:p>
      <w:pPr>
        <w:spacing w:after="80" w:before="40"/>
        <w:ind w:left="283"/>
      </w:pPr>
      <w:r>
        <w:rPr>
          <w:rFonts w:ascii="游ゴシック" w:hAnsi="游ゴシック" w:eastAsia="游ゴシック"/>
          <w:b w:val="0"/>
          <w:color w:val="2C3E50"/>
          <w:sz w:val="22"/>
        </w:rPr>
        <w:t>💬 +1.6ポイントずつ——これが今月の「均等努力ライン」です。テーブルの</w:t>
      </w:r>
      <w:r>
        <w:rPr>
          <w:rFonts w:ascii="游ゴシック" w:hAnsi="游ゴシック" w:eastAsia="游ゴシック"/>
          <w:b/>
          <w:color w:val="1E8449"/>
          <w:sz w:val="22"/>
        </w:rPr>
        <w:t>緑の行</w:t>
      </w:r>
      <w:r>
        <w:rPr>
          <w:rFonts w:ascii="游ゴシック" w:hAnsi="游ゴシック" w:eastAsia="游ゴシック"/>
          <w:b w:val="0"/>
          <w:color w:val="2C3E50"/>
          <w:sz w:val="22"/>
        </w:rPr>
        <w:t>がちょうど全体90%を達成するポイント。両病棟が同じ幅だけ改善すればいい。</w:t>
      </w:r>
    </w:p>
    <w:p>
      <w:pPr>
        <w:spacing w:after="0" w:before="0"/>
      </w:pPr>
      <w:r>
        <w:rPr>
          <w:sz w:val="12"/>
        </w:rPr>
      </w:r>
    </w:p>
    <w:p>
      <w:pPr>
        <w:spacing w:after="80" w:before="40"/>
        <w:ind w:left="283"/>
      </w:pPr>
      <w:r>
        <w:rPr>
          <w:rFonts w:ascii="游ゴシック" w:hAnsi="游ゴシック" w:eastAsia="游ゴシック"/>
          <w:b w:val="0"/>
          <w:color w:val="2C3E50"/>
          <w:sz w:val="22"/>
        </w:rPr>
        <w:t>💬 下の行を見てください。Δが大きすぎると、片方が96%に近づきます。+4.1ポイントで96%上限に達してしまう。アプリでは96%上限を超えるケースに警告マークが付きます。「そこまでは求めない」というラインが見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これが「均等努力方式」の考え方です。「うちの病棟さえ良ければいい」ではなく、</w:t>
      </w:r>
      <w:r>
        <w:rPr>
          <w:rFonts w:ascii="游ゴシック" w:hAnsi="游ゴシック" w:eastAsia="游ゴシック"/>
          <w:b/>
          <w:color w:val="E74C3C"/>
          <w:sz w:val="22"/>
        </w:rPr>
        <w:t>「同じだけ努力して、全体で目標を達成する」</w:t>
      </w:r>
      <w:r>
        <w:rPr>
          <w:rFonts w:ascii="游ゴシック" w:hAnsi="游ゴシック" w:eastAsia="游ゴシック"/>
          <w:b w:val="0"/>
          <w:color w:val="2C3E50"/>
          <w:sz w:val="22"/>
        </w:rPr>
        <w:t>。5Fも6Fも同じ上昇幅を目指す。平等だからこそ、チームとして動ける。</w:t>
      </w:r>
    </w:p>
    <w:p>
      <w:pPr>
        <w:spacing w:after="0" w:before="0"/>
      </w:pPr>
      <w:r>
        <w:rPr>
          <w:sz w:val="12"/>
        </w:rPr>
      </w:r>
    </w:p>
    <w:p>
      <w:pPr>
        <w:spacing w:after="80" w:before="40"/>
        <w:ind w:left="283"/>
      </w:pPr>
      <w:r>
        <w:rPr>
          <w:rFonts w:ascii="游ゴシック" w:hAnsi="游ゴシック" w:eastAsia="游ゴシック"/>
          <w:b w:val="0"/>
          <w:color w:val="2C3E50"/>
          <w:sz w:val="22"/>
        </w:rPr>
        <w:t>💬 月によって各病棟の実績は変わりますから、必要なΔも毎月自動で再計算されます。先月は5Fが良くて6Fが苦しかったかもしれない。今月は逆かもしれない。どちらの場合でも、「同じ幅だけ頑張ろう」——この公平さが、病棟間の協力を自然に生み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1つ目。月平均稼働率の現在地と、残り日数でいくら取り戻せるかが分かる。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4つ目。均等努力方式。「同じだけ頑張る」という公平なルールで、病棟間の協力体制をデータで支える。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1,200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均等努力方式</w:t>
            </w:r>
          </w:p>
        </w:tc>
        <w:tc>
          <w:tcPr>
            <w:tcW w:type="dxa" w:w="4536"/>
          </w:tcPr>
          <w:p>
            <w:r/>
            <w:r>
              <w:rPr>
                <w:rFonts w:ascii="游ゴシック" w:hAnsi="游ゴシック" w:eastAsia="游ゴシック"/>
                <w:b w:val="0"/>
                <w:color w:val="2C3E50"/>
                <w:sz w:val="20"/>
              </w:rPr>
              <w:t>病棟間の公平な改善目標を自動算出。同じΔだけ稼働率を上げるシナリオ表示（96%上限警告付き）</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