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e107ee2</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これを「連休前 + 連休中 + 連休明け」の 3 タグ分散型に切り替えることで、連休中稼働率 60% → 85% が見込めます。</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過去実績分析タブで月別・曜日・時間帯のパターンを毎週確認する運用。施設基準実態レポートで予定外入院率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 2 値分類の参考値。制度上の救急搬送後厳密値は2026-07 頃の純実データ蓄積後に確定（手動シード入力で bridge 中））、85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 xml:space="preserve">5 大型連休すべてで稼働率 60% 台 — 実質的に半休業状態 </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 xml:space="preserve">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備考</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3ヶ月（5F）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3ヶ月（6F）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 🟢</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値分類のため、制度上の「救急搬送後（救急車搬送+下り搬送）」とは一致せず、外来紹介・連携室・ウォークインが含まれます。制度基準 15% の厳密判定は、入院経路の 5 区分での再分類が必要で、事務へ再エクスポート依頼中。予定外入院が 50〜60% あることから、制度上の救急搬送後も基準 15% を十分に達成する見込みです。</w:t>
      </w:r>
    </w:p>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ヶ月合算で判定されます。当院の予定外入院率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でございます。これは 2 値分類による参考値で、制度上の救急搬送後厳密値は 2026-07 頃に純実データで確定（手動シード入力で bridge 中）しますが、十分な余裕で基準 15% を達成する見込みです。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LOS・85 歳以上比率は安全マージンを持って達成</w:t>
      </w:r>
      <w:r>
        <w:rPr>
          <w:rFonts w:ascii="Hiragino Kaku Gothic ProN" w:hAnsi="Hiragino Kaku Gothic ProN" w:eastAsia="Hiragino Kaku Gothic ProN" w:cs="Hiragino Kaku Gothic ProN"/>
          <w:b w:val="0"/>
          <w:i w:val="0"/>
          <w:sz w:val="22"/>
        </w:rPr>
        <w:t>しております。予定外入院率は 5F 53.1% / 6F 61.1%（2 値分類）で、制度上の「救急搬送後」厳密値は2026-07 頃の純実データ蓄積後に確定（手動シード入力で bridge 中）しますが、この広い分類でも 50% 超あることから基準 15% は十分に達成見込み。85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予定外入院率が 2 値分類で 50〜60% 超の水準にあることから、制度上の救急搬送後厳密値（精査中）も基準 15% に対して十分な余裕がある見込みで、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と考えます。ただし、最終的な増加判断は事務による入院経路 5 区分の再エクスポート後に制度上の救急搬送後値で行うことになります。短手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