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b34c220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基準 15% の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基準 15% の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副院長が第一歩として見る数字。救急は既に大幅達成、85+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通年救急率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r>
        <w:tc>
          <w:tcPr>
            <w:tcW w:type="dxa" w:w="3324"/>
            <w:vAlign w:val="center"/>
          </w:tcPr>
          <w:p>
            <w:r/>
            <w:r>
              <w:rPr>
                <w:rFonts w:ascii="Hiragino Kaku Gothic ProN" w:hAnsi="Hiragino Kaku Gothic ProN" w:eastAsia="Hiragino Kaku Gothic ProN" w:cs="Hiragino Kaku Gothic ProN"/>
                <w:b w:val="0"/>
                <w:i w:val="0"/>
                <w:sz w:val="20"/>
              </w:rPr>
              <w:t>基準との差</w:t>
            </w:r>
          </w:p>
        </w:tc>
        <w:tc>
          <w:tcPr>
            <w:tcW w:type="dxa" w:w="3324"/>
            <w:vAlign w:val="center"/>
          </w:tcPr>
          <w:p>
            <w:r/>
            <w:r>
              <w:rPr>
                <w:rFonts w:ascii="Hiragino Kaku Gothic ProN" w:hAnsi="Hiragino Kaku Gothic ProN" w:eastAsia="Hiragino Kaku Gothic ProN" w:cs="Hiragino Kaku Gothic ProN"/>
                <w:b w:val="0"/>
                <w:i w:val="0"/>
                <w:sz w:val="20"/>
              </w:rPr>
              <w:t>+38.1pt</w:t>
            </w:r>
          </w:p>
        </w:tc>
        <w:tc>
          <w:tcPr>
            <w:tcW w:type="dxa" w:w="332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当院は既に基準の 3.5〜4.1 倍を達成。余力を活かして予定入院（短手3 含む）を増やす戦略的判断ができる。</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通年救急率</w:t>
            </w:r>
          </w:p>
        </w:tc>
        <w:tc>
          <w:tcPr>
            <w:tcW w:type="dxa" w:w="2493"/>
            <w:vAlign w:val="center"/>
          </w:tcPr>
          <w:p>
            <w:r>
              <w:rPr>
                <w:b/>
              </w:rPr>
            </w:r>
            <w:r>
              <w:rPr>
                <w:rFonts w:ascii="Hiragino Kaku Gothic ProN" w:hAnsi="Hiragino Kaku Gothic ProN" w:eastAsia="Hiragino Kaku Gothic ProN" w:cs="Hiragino Kaku Gothic ProN"/>
                <w:b/>
                <w:i w:val="0"/>
                <w:sz w:val="20"/>
              </w:rPr>
              <w:t>rolling 3ヶ月最終値（2026-01〜03）</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val="0"/>
                <w:i w:val="0"/>
                <w:sz w:val="20"/>
              </w:rPr>
              <w:t>53.1%</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val="0"/>
                <w:i w:val="0"/>
                <w:sz w:val="20"/>
              </w:rPr>
              <w:t>61.1%</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基準の 3.5〜4.1 倍を通年達成。単月の揺らぎ（42.7〜62.6%）があっても、rolling 3 ヶ月では一度も基準割れしていない。</w:t>
      </w:r>
      <w:r>
        <w:rPr>
          <w:rFonts w:ascii="Hiragino Kaku Gothic ProN" w:hAnsi="Hiragino Kaku Gothic ProN" w:eastAsia="Hiragino Kaku Gothic ProN" w:cs="Hiragino Kaku Gothic ProN"/>
          <w:b/>
          <w:i w:val="0"/>
          <w:sz w:val="22"/>
        </w:rPr>
        <w:t>6/1 以降の本則完全適用でも十分な余裕がある。</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当院実績は基準の 3.5〜4.1 倍。推定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r>
        <w:rPr>
          <w:rFonts w:ascii="Hiragino Kaku Gothic ProN" w:hAnsi="Hiragino Kaku Gothic ProN" w:eastAsia="Hiragino Kaku Gothic ProN" w:cs="Hiragino Kaku Gothic ProN"/>
          <w:b w:val="0"/>
          <w:i w:val="0"/>
          <w:sz w:val="22"/>
        </w:rPr>
        <w:t>&lt;!-- qa-skip --&gt;</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