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a1fee86</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予定外入院割合 — 制度基準「救急搬送後 15%」の参考値</w:t>
      </w:r>
    </w:p>
    <w:p>
      <w:r>
        <w:rPr>
          <w:rFonts w:ascii="Hiragino Kaku Gothic ProN" w:hAnsi="Hiragino Kaku Gothic ProN" w:eastAsia="Hiragino Kaku Gothic ProN" w:cs="Hiragino Kaku Gothic ProN"/>
          <w:b w:val="0"/>
          <w:i w:val="0"/>
          <w:sz w:val="22"/>
        </w:rPr>
        <w:t>制度基準は「救急搬送後患者割合 15% 以上」ですが、</w:t>
      </w:r>
      <w:r>
        <w:rPr>
          <w:rFonts w:ascii="Hiragino Kaku Gothic ProN" w:hAnsi="Hiragino Kaku Gothic ProN" w:eastAsia="Hiragino Kaku Gothic ProN" w:cs="Hiragino Kaku Gothic ProN"/>
          <w:b/>
          <w:i w:val="0"/>
          <w:sz w:val="22"/>
        </w:rPr>
        <w:t>2025 年度の事務データは「当日(予定外/緊急) / 予定」の 2 値分類</w:t>
      </w:r>
      <w:r>
        <w:rPr>
          <w:rFonts w:ascii="Hiragino Kaku Gothic ProN" w:hAnsi="Hiragino Kaku Gothic ProN" w:eastAsia="Hiragino Kaku Gothic ProN" w:cs="Hiragino Kaku Gothic ProN"/>
          <w:b w:val="0"/>
          <w:i w:val="0"/>
          <w:sz w:val="22"/>
        </w:rPr>
        <w:t xml:space="preserve"> で、救急車搬送・下り搬送・外来紹介・連携室・ウォークインを区別していません。そのため、本章の数値は制度上の「救急搬送後」より広い </w:t>
      </w:r>
      <w:r>
        <w:rPr>
          <w:rFonts w:ascii="Hiragino Kaku Gothic ProN" w:hAnsi="Hiragino Kaku Gothic ProN" w:eastAsia="Hiragino Kaku Gothic ProN" w:cs="Hiragino Kaku Gothic ProN"/>
          <w:b/>
          <w:i w:val="0"/>
          <w:sz w:val="22"/>
        </w:rPr>
        <w:t>予定外入院割合</w:t>
      </w:r>
      <w:r>
        <w:rPr>
          <w:rFonts w:ascii="Hiragino Kaku Gothic ProN" w:hAnsi="Hiragino Kaku Gothic ProN" w:eastAsia="Hiragino Kaku Gothic ProN" w:cs="Hiragino Kaku Gothic ProN"/>
          <w:b w:val="0"/>
          <w:i w:val="0"/>
          <w:sz w:val="22"/>
        </w:rPr>
        <w:t xml:space="preserve"> として読んでください：</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総入院数</w:t>
            </w:r>
          </w:p>
        </w:tc>
        <w:tc>
          <w:tcPr>
            <w:tcW w:type="dxa" w:w="2493"/>
            <w:vAlign w:val="center"/>
          </w:tcPr>
          <w:p>
            <w:r>
              <w:rPr>
                <w:b/>
              </w:rPr>
            </w:r>
            <w:r>
              <w:rPr>
                <w:rFonts w:ascii="Hiragino Kaku Gothic ProN" w:hAnsi="Hiragino Kaku Gothic ProN" w:eastAsia="Hiragino Kaku Gothic ProN" w:cs="Hiragino Kaku Gothic ProN"/>
                <w:b/>
                <w:i w:val="0"/>
                <w:sz w:val="20"/>
              </w:rPr>
              <w:t>予定外入院</w:t>
            </w:r>
          </w:p>
        </w:tc>
        <w:tc>
          <w:tcPr>
            <w:tcW w:type="dxa" w:w="2493"/>
            <w:vAlign w:val="center"/>
          </w:tcPr>
          <w:p>
            <w:r>
              <w:rPr>
                <w:b/>
              </w:rPr>
            </w:r>
            <w:r>
              <w:rPr>
                <w:rFonts w:ascii="Hiragino Kaku Gothic ProN" w:hAnsi="Hiragino Kaku Gothic ProN" w:eastAsia="Hiragino Kaku Gothic ProN" w:cs="Hiragino Kaku Gothic ProN"/>
                <w:b/>
                <w:i w:val="0"/>
                <w:sz w:val="20"/>
              </w:rPr>
              <w:t>通年 予定外入院率</w:t>
            </w:r>
          </w:p>
        </w:tc>
      </w:tr>
      <w:tr>
        <w:tc>
          <w:tcPr>
            <w:tcW w:type="dxa" w:w="2493"/>
            <w:vAlign w:val="center"/>
          </w:tcPr>
          <w:p>
            <w:r/>
            <w:r>
              <w:rPr>
                <w:rFonts w:ascii="Hiragino Kaku Gothic ProN" w:hAnsi="Hiragino Kaku Gothic ProN" w:eastAsia="Hiragino Kaku Gothic ProN" w:cs="Hiragino Kaku Gothic ProN"/>
                <w:b w:val="0"/>
                <w:i w:val="0"/>
                <w:sz w:val="20"/>
              </w:rPr>
              <w:t>5F(外科・整形)</w:t>
            </w:r>
          </w:p>
        </w:tc>
        <w:tc>
          <w:tcPr>
            <w:tcW w:type="dxa" w:w="2493"/>
            <w:vAlign w:val="center"/>
          </w:tcPr>
          <w:p>
            <w:r/>
            <w:r>
              <w:rPr>
                <w:rFonts w:ascii="Hiragino Kaku Gothic ProN" w:hAnsi="Hiragino Kaku Gothic ProN" w:eastAsia="Hiragino Kaku Gothic ProN" w:cs="Hiragino Kaku Gothic ProN"/>
                <w:b w:val="0"/>
                <w:i w:val="0"/>
                <w:sz w:val="20"/>
              </w:rPr>
              <w:t>951</w:t>
            </w:r>
          </w:p>
        </w:tc>
        <w:tc>
          <w:tcPr>
            <w:tcW w:type="dxa" w:w="2493"/>
            <w:vAlign w:val="center"/>
          </w:tcPr>
          <w:p>
            <w:r/>
            <w:r>
              <w:rPr>
                <w:rFonts w:ascii="Hiragino Kaku Gothic ProN" w:hAnsi="Hiragino Kaku Gothic ProN" w:eastAsia="Hiragino Kaku Gothic ProN" w:cs="Hiragino Kaku Gothic ProN"/>
                <w:b w:val="0"/>
                <w:i w:val="0"/>
                <w:sz w:val="20"/>
              </w:rPr>
              <w:t>505</w:t>
            </w:r>
          </w:p>
        </w:tc>
        <w:tc>
          <w:tcPr>
            <w:tcW w:type="dxa" w:w="2493"/>
            <w:vAlign w:val="center"/>
          </w:tcPr>
          <w:p>
            <w:r/>
            <w:r>
              <w:rPr>
                <w:rFonts w:ascii="Hiragino Kaku Gothic ProN" w:hAnsi="Hiragino Kaku Gothic ProN" w:eastAsia="Hiragino Kaku Gothic ProN" w:cs="Hiragino Kaku Gothic ProN"/>
                <w:b/>
                <w:i w:val="0"/>
                <w:sz w:val="20"/>
              </w:rPr>
              <w:t>53.1%</w:t>
            </w:r>
          </w:p>
        </w:tc>
      </w:tr>
      <w:tr>
        <w:tc>
          <w:tcPr>
            <w:tcW w:type="dxa" w:w="2493"/>
            <w:vAlign w:val="center"/>
          </w:tcPr>
          <w:p>
            <w:r/>
            <w:r>
              <w:rPr>
                <w:rFonts w:ascii="Hiragino Kaku Gothic ProN" w:hAnsi="Hiragino Kaku Gothic ProN" w:eastAsia="Hiragino Kaku Gothic ProN" w:cs="Hiragino Kaku Gothic ProN"/>
                <w:b w:val="0"/>
                <w:i w:val="0"/>
                <w:sz w:val="20"/>
              </w:rPr>
              <w:t>6F(内科・ペイン)</w:t>
            </w:r>
          </w:p>
        </w:tc>
        <w:tc>
          <w:tcPr>
            <w:tcW w:type="dxa" w:w="2493"/>
            <w:vAlign w:val="center"/>
          </w:tcPr>
          <w:p>
            <w:r/>
            <w:r>
              <w:rPr>
                <w:rFonts w:ascii="Hiragino Kaku Gothic ProN" w:hAnsi="Hiragino Kaku Gothic ProN" w:eastAsia="Hiragino Kaku Gothic ProN" w:cs="Hiragino Kaku Gothic ProN"/>
                <w:b w:val="0"/>
                <w:i w:val="0"/>
                <w:sz w:val="20"/>
              </w:rPr>
              <w:t>996</w:t>
            </w:r>
          </w:p>
        </w:tc>
        <w:tc>
          <w:tcPr>
            <w:tcW w:type="dxa" w:w="2493"/>
            <w:vAlign w:val="center"/>
          </w:tcPr>
          <w:p>
            <w:r/>
            <w:r>
              <w:rPr>
                <w:rFonts w:ascii="Hiragino Kaku Gothic ProN" w:hAnsi="Hiragino Kaku Gothic ProN" w:eastAsia="Hiragino Kaku Gothic ProN" w:cs="Hiragino Kaku Gothic ProN"/>
                <w:b w:val="0"/>
                <w:i w:val="0"/>
                <w:sz w:val="20"/>
              </w:rPr>
              <w:t>609</w:t>
            </w:r>
          </w:p>
        </w:tc>
        <w:tc>
          <w:tcPr>
            <w:tcW w:type="dxa" w:w="2493"/>
            <w:vAlign w:val="center"/>
          </w:tcPr>
          <w:p>
            <w:r/>
            <w:r>
              <w:rPr>
                <w:rFonts w:ascii="Hiragino Kaku Gothic ProN" w:hAnsi="Hiragino Kaku Gothic ProN" w:eastAsia="Hiragino Kaku Gothic ProN" w:cs="Hiragino Kaku Gothic ProN"/>
                <w:b/>
                <w:i w:val="0"/>
                <w:sz w:val="20"/>
              </w:rPr>
              <w:t>61.1%</w:t>
            </w:r>
          </w:p>
        </w:tc>
      </w:tr>
    </w:tbl>
    <w:p>
      <w:r>
        <w:rPr>
          <w:rFonts w:ascii="Hiragino Kaku Gothic ProN" w:hAnsi="Hiragino Kaku Gothic ProN" w:eastAsia="Hiragino Kaku Gothic ProN" w:cs="Hiragino Kaku Gothic ProN"/>
          <w:b/>
          <w:i w:val="0"/>
          <w:sz w:val="22"/>
        </w:rPr>
        <w:t>予定外入院の中には救急搬送以外（外来紹介・連携室・ウォークイン等）が含まれています。制度上の「救急搬送後」に限定した厳密値は、事務への再エクスポート依頼中で、確定次第ご報告します。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月)の予定外入院率は:</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予定外入院率がこの水準であれば、制度上の「救急搬送後（15% 以上）」も十分な余裕で達成できる見込みです。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予定外入院率: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 2 値分類による参考値。制度上の「救急搬送後 15%」の厳密判定は精査中だが、達成見込み)</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予定外入院割合が高水準</w:t>
      </w:r>
      <w:r>
        <w:rPr>
          <w:rFonts w:ascii="Hiragino Kaku Gothic ProN" w:hAnsi="Hiragino Kaku Gothic ProN" w:eastAsia="Hiragino Kaku Gothic ProN" w:cs="Hiragino Kaku Gothic ProN"/>
          <w:b w:val="0"/>
          <w:i w:val="0"/>
          <w:sz w:val="22"/>
        </w:rPr>
        <w:t>: 5F 53.1% / 6F 61.1%（rolling 3 ヶ月でも 54.4% / 60.1%）。ただしこれは 2025FY 事務データの 2 値分類による参考値で、制度上の「救急搬送後」には外来紹介・連携室等が含まれないため、厳密値は再分類後に確定します。予定外入院の過半を救急搬送が占める想定で、基準 15% は十分な余裕で達成する見込みです。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試算しました。現在の予定外入院率は 5F 53.1% / 6F 61.1%（2 値分類）で、制度上の「救急搬送後」に限定した厳密値は精査中ですが、この広い分類でも 50% 以上あることから、基準 15% は十分な余裕があると考えられます。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ヶ月に当てはめると、予定外入院率は約 3〜5pt 低下する見込みです。</w:t>
      </w:r>
      <w:r>
        <w:rPr>
          <w:rFonts w:ascii="Hiragino Kaku Gothic ProN" w:hAnsi="Hiragino Kaku Gothic ProN" w:eastAsia="Hiragino Kaku Gothic ProN" w:cs="Hiragino Kaku Gothic ProN"/>
          <w:b/>
          <w:i w:val="0"/>
          <w:sz w:val="22"/>
        </w:rPr>
        <w:t>それでも 50% 前後の水準は維持される見込みです。</w:t>
      </w:r>
    </w:p>
    <w:p>
      <w:r>
        <w:rPr>
          <w:rFonts w:ascii="Hiragino Kaku Gothic ProN" w:hAnsi="Hiragino Kaku Gothic ProN" w:eastAsia="Hiragino Kaku Gothic ProN" w:cs="Hiragino Kaku Gothic ProN"/>
          <w:b w:val="0"/>
          <w:i w:val="0"/>
          <w:sz w:val="22"/>
        </w:rPr>
        <w:t xml:space="preserve">基準 15% には十分な余力があるため、短手 3 増加は制度リスクなく進められる想定。ただし、判断の最終確定は </w:t>
      </w:r>
      <w:r>
        <w:rPr>
          <w:rFonts w:ascii="Hiragino Kaku Gothic ProN" w:hAnsi="Hiragino Kaku Gothic ProN" w:eastAsia="Hiragino Kaku Gothic ProN" w:cs="Hiragino Kaku Gothic ProN"/>
          <w:b/>
          <w:i w:val="0"/>
          <w:sz w:val="22"/>
        </w:rPr>
        <w:t>事務による入院経路 5 区分の再エクスポート後</w:t>
      </w:r>
      <w:r>
        <w:rPr>
          <w:rFonts w:ascii="Hiragino Kaku Gothic ProN" w:hAnsi="Hiragino Kaku Gothic ProN" w:eastAsia="Hiragino Kaku Gothic ProN" w:cs="Hiragino Kaku Gothic ProN"/>
          <w:b w:val="0"/>
          <w:i w:val="0"/>
          <w:sz w:val="22"/>
        </w:rPr>
        <w:t xml:space="preserve"> に、制度上の救急搬送後値を使って行います。また実際の増加は </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 xml:space="preserve"> 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