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28"/>
          <w:szCs w:val="28"/>
        </w:rPr>
        <w:t xml:space="preserve">TORUS COFFEE COMPANY LLC</w:t>
      </w:r>
    </w:p>
    <w:p>
      <w:pPr>
        <w:spacing w:after="80"/>
        <w:jc w:val="center"/>
      </w:pPr>
      <w:r>
        <w:rPr>
          <w:rFonts w:ascii="Arial" w:cs="Arial" w:eastAsia="Arial" w:hAnsi="Arial"/>
          <w:sz w:val="22"/>
          <w:szCs w:val="22"/>
        </w:rPr>
        <w:t xml:space="preserve">Employer Identification Number: 33-3331013</w:t>
      </w:r>
    </w:p>
    <w:p>
      <w:pPr>
        <w:spacing w:after="80"/>
        <w:jc w:val="center"/>
      </w:pPr>
      <w:r>
        <w:rPr>
          <w:rFonts w:ascii="Arial" w:cs="Arial" w:eastAsia="Arial" w:hAnsi="Arial"/>
          <w:sz w:val="22"/>
          <w:szCs w:val="22"/>
        </w:rPr>
        <w:t xml:space="preserve">4439 East Court Street, Iowa City, IA 52245</w:t>
      </w:r>
    </w:p>
    <w:p>
      <w:pPr>
        <w:pBdr>
          <w:bottom w:val="single" w:color="000000" w:sz="6" w:space="1"/>
        </w:pBdr>
        <w:spacing w:after="320"/>
        <w:jc w:val="center"/>
      </w:pPr>
      <w:r>
        <w:rPr>
          <w:rFonts w:ascii="Arial" w:cs="Arial" w:eastAsia="Arial" w:hAnsi="Arial"/>
          <w:sz w:val="22"/>
          <w:szCs w:val="22"/>
        </w:rPr>
        <w:t xml:space="preserve">Tax Year Ended December 31, 2025</w:t>
      </w:r>
    </w:p>
    <w:p>
      <w:pPr>
        <w:spacing w:after="160"/>
      </w:pPr>
    </w:p>
    <w:p>
      <w:pPr>
        <w:spacing w:after="40"/>
        <w:jc w:val="center"/>
      </w:pPr>
      <w:r>
        <w:rPr>
          <w:rFonts w:ascii="Arial" w:cs="Arial" w:eastAsia="Arial" w:hAnsi="Arial"/>
          <w:b/>
          <w:bCs/>
          <w:sz w:val="26"/>
          <w:szCs w:val="26"/>
        </w:rPr>
        <w:t xml:space="preserve">STATEMENT ATTACHED TO FORM 1065</w:t>
      </w:r>
    </w:p>
    <w:p>
      <w:pPr>
        <w:spacing w:after="280"/>
        <w:jc w:val="center"/>
      </w:pPr>
      <w:r>
        <w:rPr>
          <w:rFonts w:ascii="Arial" w:cs="Arial" w:eastAsia="Arial" w:hAnsi="Arial"/>
          <w:b/>
          <w:bCs/>
          <w:sz w:val="24"/>
          <w:szCs w:val="24"/>
        </w:rPr>
        <w:t xml:space="preserve">Line 21 — Other Deductions</w:t>
      </w:r>
    </w:p>
    <w:p>
      <w:pPr>
        <w:spacing w:after="240"/>
      </w:pPr>
      <w:r>
        <w:rPr>
          <w:rFonts w:ascii="Arial" w:cs="Arial" w:eastAsia="Arial" w:hAnsi="Arial"/>
          <w:sz w:val="20"/>
          <w:szCs w:val="20"/>
        </w:rPr>
        <w:t xml:space="preserve">The following itemized deductions are included in the amount reported on Form 1065, Page 1, Line 21 (Other Deductions) for the tax year ended December 31,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pPr>
              <w:jc w:val="left"/>
            </w:pPr>
            <w:r>
              <w:rPr>
                <w:rFonts w:ascii="Arial" w:cs="Arial" w:eastAsia="Arial" w:hAnsi="Arial"/>
                <w:b/>
                <w:bCs/>
                <w:sz w:val="20"/>
                <w:szCs w:val="20"/>
              </w:rPr>
              <w:t xml:space="preserve">Description of Expense</w:t>
            </w:r>
          </w:p>
        </w:tc>
        <w:tc>
          <w:tcPr>
            <w:tcW w:type="dxa" w:w="2360"/>
            <w:tcBorders>
              <w:top w:val="single" w:color="CCCCCC" w:sz="1"/>
              <w:left w:val="single" w:color="CCCCCC" w:sz="1"/>
              <w:bottom w:val="single" w:color="CCCCCC" w:sz="1"/>
              <w:right w:val="single" w:color="CCCCCC" w:sz="1"/>
            </w:tcBorders>
            <w:shd w:fill="D0D0D0" w:val="clear"/>
            <w:tcMar>
              <w:top w:type="dxa" w:w="80"/>
              <w:left w:type="dxa" w:w="120"/>
              <w:bottom w:type="dxa" w:w="80"/>
              <w:right w:type="dxa" w:w="120"/>
            </w:tcMar>
          </w:tcPr>
          <w:p>
            <w:pPr>
              <w:jc w:val="left"/>
            </w:pPr>
            <w:r>
              <w:rPr>
                <w:rFonts w:ascii="Arial" w:cs="Arial" w:eastAsia="Arial" w:hAnsi="Arial"/>
                <w:b/>
                <w:bCs/>
                <w:sz w:val="20"/>
                <w:szCs w:val="20"/>
              </w:rPr>
              <w:t xml:space="preserve">Amount</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Advertising &amp; Marketing (Wix.com website platform)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$410.55</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Bank Fees &amp; Charges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$104.25</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Flea Market Vendor Fee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$20.00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Legal &amp; Professional Fees (LegalZoom – BOIR filing &amp; business legal)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$248.00</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Meals &amp; Entertainment (business product testing, 50% deductible portion)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$2.12</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Office Supplies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$106.95</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Software &amp; Subscriptions (Clip Studio Paint)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$116.44</w:t>
            </w:r>
          </w:p>
        </w:tc>
      </w:tr>
      <w:tr>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Telephone &amp; Communications (Tracfone)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b w:val="false"/>
                <w:bCs w:val="false"/>
                <w:sz w:val="20"/>
                <w:szCs w:val="20"/>
              </w:rPr>
              <w:t xml:space="preserve">$71.87</w:t>
            </w:r>
          </w:p>
        </w:tc>
      </w:tr>
      <w:tr>
        <w:tc>
          <w:tcPr>
            <w:tcW w:type="dxa" w:w="7000"/>
            <w:tcBorders>
              <w:top w:val="single" w:color="CCCCCC" w:sz="1"/>
              <w:left w:val="single" w:color="CCCCCC" w:sz="1"/>
              <w:bottom w:val="single" w:color="CCCCCC" w:sz="1"/>
              <w:right w:val="single" w:color="CCCCCC" w:sz="1"/>
            </w:tcBorders>
            <w:tcMar>
              <w:top w:type="dxa" w:w="40"/>
              <w:left w:type="dxa" w:w="120"/>
              <w:bottom w:type="dxa" w:w="40"/>
              <w:right w:type="dxa" w:w="120"/>
            </w:tcMar>
          </w:tcPr>
          <w:p/>
        </w:tc>
        <w:tc>
          <w:tcPr>
            <w:tcW w:type="dxa" w:w="2360"/>
            <w:tcBorders>
              <w:top w:val="single" w:color="000000" w:sz="4"/>
              <w:left w:val="single" w:color="CCCCCC" w:sz="1"/>
              <w:bottom w:val="single" w:color="CCCCCC" w:sz="1"/>
              <w:right w:val="single" w:color="CCCCCC" w:sz="1"/>
            </w:tcBorders>
            <w:tcMar>
              <w:top w:type="dxa" w:w="40"/>
              <w:left w:type="dxa" w:w="120"/>
              <w:bottom w:type="dxa" w:w="40"/>
              <w:right w:type="dxa" w:w="120"/>
            </w:tcMar>
          </w:tcPr>
          <w:p/>
        </w:tc>
      </w:tr>
      <w:tr>
        <w:tc>
          <w:tcPr>
            <w:tcW w:type="dxa" w:w="700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tcPr>
          <w:p>
            <w:pPr>
              <w:jc w:val="left"/>
            </w:pPr>
            <w:r>
              <w:rPr>
                <w:rFonts w:ascii="Arial" w:cs="Arial" w:eastAsia="Arial" w:hAnsi="Arial"/>
                <w:b/>
                <w:bCs/>
                <w:sz w:val="20"/>
                <w:szCs w:val="20"/>
              </w:rPr>
              <w:t xml:space="preserve">TOTAL — Line 21 Other Deductions</w:t>
            </w:r>
          </w:p>
        </w:tc>
        <w:tc>
          <w:tcPr>
            <w:tcW w:type="dxa" w:w="2360"/>
            <w:tcBorders>
              <w:top w:val="single" w:color="000000" w:sz="4"/>
              <w:left w:val="single" w:color="000000" w:sz="4"/>
              <w:bottom w:val="single" w:color="000000" w:sz="4"/>
              <w:right w:val="single" w:color="000000" w:sz="4"/>
            </w:tcBorders>
            <w:shd w:fill="F0F0F0" w:val="clear"/>
            <w:tcMar>
              <w:top w:type="dxa" w:w="80"/>
              <w:left w:type="dxa" w:w="120"/>
              <w:bottom w:type="dxa" w:w="80"/>
              <w:right w:type="dxa" w:w="120"/>
            </w:tcMar>
          </w:tcPr>
          <w:p>
            <w:pPr>
              <w:jc w:val="right"/>
            </w:pPr>
            <w:r>
              <w:rPr>
                <w:rFonts w:ascii="Arial" w:cs="Arial" w:eastAsia="Arial" w:hAnsi="Arial"/>
                <w:b/>
                <w:bCs/>
                <w:sz w:val="20"/>
                <w:szCs w:val="20"/>
              </w:rPr>
              <w:t xml:space="preserve">$1,080.18</w:t>
            </w:r>
          </w:p>
        </w:tc>
      </w:tr>
    </w:tbl>
    <w:p>
      <w:pPr>
        <w:spacing w:after="280"/>
      </w:pPr>
    </w:p>
    <w:p>
      <w:pPr>
        <w:spacing w:after="120"/>
      </w:pPr>
      <w:r>
        <w:rPr>
          <w:rFonts w:ascii="Arial" w:cs="Arial" w:eastAsia="Arial" w:hAnsi="Arial"/>
          <w:b/>
          <w:bCs/>
          <w:sz w:val="20"/>
          <w:szCs w:val="20"/>
        </w:rPr>
        <w:t xml:space="preserve">Notes:</w:t>
      </w:r>
    </w:p>
    <w:p>
      <w:pPr>
        <w:spacing w:after="100"/>
      </w:pPr>
      <w:r>
        <w:rPr>
          <w:rFonts w:ascii="Arial" w:cs="Arial" w:eastAsia="Arial" w:hAnsi="Arial"/>
          <w:sz w:val="20"/>
          <w:szCs w:val="20"/>
        </w:rPr>
        <w:t xml:space="preserve">1.  Meals &amp; Entertainment: Only the 50% deductible portion of business product-testing meals is included, per IRC §274(n).</w:t>
      </w:r>
    </w:p>
    <w:p>
      <w:pPr>
        <w:spacing w:after="100"/>
      </w:pPr>
      <w:r>
        <w:rPr>
          <w:rFonts w:ascii="Arial" w:cs="Arial" w:eastAsia="Arial" w:hAnsi="Arial"/>
          <w:sz w:val="20"/>
          <w:szCs w:val="20"/>
        </w:rPr>
        <w:t xml:space="preserve">2.  Legal &amp; Professional Fees: Includes LegalZoom BOIR (Beneficial Ownership Information Report) filing fee and business legal services.</w:t>
      </w:r>
    </w:p>
    <w:p>
      <w:pPr>
        <w:spacing w:after="100"/>
      </w:pPr>
      <w:r>
        <w:rPr>
          <w:rFonts w:ascii="Arial" w:cs="Arial" w:eastAsia="Arial" w:hAnsi="Arial"/>
          <w:sz w:val="20"/>
          <w:szCs w:val="20"/>
        </w:rPr>
        <w:t xml:space="preserve">3.  All deductions are ordinary and necessary business expenses under IRC §162.</w:t>
      </w:r>
    </w:p>
    <w:p>
      <w:pPr>
        <w:spacing w:after="100"/>
      </w:pPr>
      <w:r>
        <w:rPr>
          <w:rFonts w:ascii="Arial" w:cs="Arial" w:eastAsia="Arial" w:hAnsi="Arial"/>
          <w:sz w:val="20"/>
          <w:szCs w:val="20"/>
        </w:rPr>
        <w:t xml:space="preserve">4.  Personal and non-deductible items have been excluded from this statement.</w:t>
      </w:r>
    </w:p>
    <w:p>
      <w:pPr>
        <w:spacing w:after="100"/>
      </w:pPr>
      <w:r>
        <w:rPr>
          <w:rFonts w:ascii="Arial" w:cs="Arial" w:eastAsia="Arial" w:hAnsi="Arial"/>
          <w:sz w:val="20"/>
          <w:szCs w:val="20"/>
        </w:rPr>
        <w:t xml:space="preserve">5.  Fraudulent charges ($1,145.20) that were fully reversed and refunded have been excluded.</w:t>
      </w:r>
    </w:p>
    <w:p>
      <w:pPr>
        <w:spacing w:after="240"/>
      </w:pPr>
    </w:p>
    <w:p>
      <w:pPr>
        <w:pBdr>
          <w:top w:val="single" w:color="000000" w:sz="4" w:space="1"/>
        </w:pBdr>
        <w:spacing w:after="80"/>
      </w:pPr>
      <w:r>
        <w:rPr>
          <w:rFonts w:ascii="Arial" w:cs="Arial" w:eastAsia="Arial" w:hAnsi="Arial"/>
          <w:i/>
          <w:iCs/>
          <w:sz w:val="18"/>
          <w:szCs w:val="18"/>
        </w:rPr>
        <w:t xml:space="preserve">This statement is submitted as an attachment to Form 1065 for the tax year ended December 31, 2025. It is covered by the declaration and signature of the partnership representative on Page 1 of Form 1065.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2026-03-13T20:10:27.335Z</dcterms:created>
  <dcterms:modified xsi:type="dcterms:W3CDTF">2026-03-13T20:10:27.336Z</dcterms:modified>
</cp:coreProperties>
</file>

<file path=docProps/custom.xml><?xml version="1.0" encoding="utf-8"?>
<Properties xmlns="http://schemas.openxmlformats.org/officeDocument/2006/custom-properties" xmlns:vt="http://schemas.openxmlformats.org/officeDocument/2006/docPropsVTypes"/>
</file>