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image1.png" ContentType="image/png"/>
  <Override PartName="/word/media/image2.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drawing>
          <wp:inline distT="0" distB="0" distL="0" distR="0">
            <wp:extent cx="2322286" cy="685800"/>
            <wp:docPr id="1" name="" descr="TORV Sustainable Agronomics"/>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cstate="print" r:embed="rId22"/>
                    <a:stretch>
                      <a:fillRect/>
                    </a:stretch>
                  </pic:blipFill>
                  <pic:spPr bwMode="auto">
                    <a:xfrm>
                      <a:off x="0" y="0"/>
                      <a:ext cx="32254" cy="9525"/>
                    </a:xfrm>
                    <a:prstGeom prst="rect">
                      <a:avLst/>
                    </a:prstGeom>
                    <a:noFill/>
                  </pic:spPr>
                </pic:pic>
              </a:graphicData>
            </a:graphic>
          </wp:inline>
        </w:drawing>
      </w:r>
    </w:p>
    <w:p>
      <w:pPr>
        <w:pStyle w:val="FirstParagraph"/>
      </w:pPr>
      <w:r>
        <w:t xml:space="preserve">November 22, 2023</w:t>
      </w:r>
    </w:p>
    <w:p>
      <w:pPr>
        <w:pStyle w:val="BodyText"/>
      </w:pPr>
      <w:r>
        <w:t xml:space="preserve">Company</w:t>
      </w:r>
      <w:r>
        <w:br/>
      </w:r>
      <w:r>
        <w:t xml:space="preserve">Address Line 1</w:t>
      </w:r>
      <w:r>
        <w:br/>
      </w:r>
      <w:r>
        <w:t xml:space="preserve">Address Line 2</w:t>
      </w:r>
      <w:r>
        <w:br/>
      </w:r>
      <w:r>
        <w:t xml:space="preserve">City, State, Zip</w:t>
      </w:r>
    </w:p>
    <w:p>
      <w:pPr>
        <w:pStyle w:val="BodyText"/>
      </w:pPr>
      <w:r>
        <w:t xml:space="preserve">Cover Letter</w:t>
      </w:r>
    </w:p>
    <w:p>
      <w:pPr>
        <w:pStyle w:val="BodyText"/>
      </w:pPr>
      <w:r>
        <w:t xml:space="preserve">Lorem ipsum dolor sit amet, consectetur adipiscing elit. Maecenas facilisis sollicitudin magna at condimentum. Vestibulum at aliquam lorem. Aliquam ut nibh pretium, volutpat metus eu, fermentum velit. Cras dapibus placerat viverra. Etiam faucibus lectus ac neque scelerisque fringilla. Nunc mi velit, tristique ac placerat gravida, porttitor at ante. Phasellus vehicula.</w:t>
      </w:r>
    </w:p>
    <w:p>
      <w:pPr>
        <w:pStyle w:val="BodyText"/>
      </w:pPr>
      <w:r>
        <w:t xml:space="preserve">Best Regards,</w:t>
      </w:r>
    </w:p>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drawing>
          <wp:inline distT="0" distB="0" distL="0" distR="0">
            <wp:extent cx="1431235" cy="228600"/>
            <wp:docPr id="3" name="" descr="Eric Foerster's Signatur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23"/>
                    <a:stretch>
                      <a:fillRect/>
                    </a:stretch>
                  </pic:blipFill>
                  <pic:spPr bwMode="auto">
                    <a:xfrm>
                      <a:off x="0" y="0"/>
                      <a:ext cx="19878" cy="3175"/>
                    </a:xfrm>
                    <a:prstGeom prst="rect">
                      <a:avLst/>
                    </a:prstGeom>
                    <a:noFill/>
                  </pic:spPr>
                </pic:pic>
              </a:graphicData>
            </a:graphic>
          </wp:inline>
        </w:drawing>
      </w:r>
    </w:p>
    <w:p>
      <w:pPr>
        <w:pStyle w:val="BodyText"/>
      </w:pPr>
      <w:r>
        <w:t xml:space="preserve">Eric Foerster CGCS, MG</w:t>
      </w:r>
      <w:r>
        <w:br/>
      </w:r>
      <w:r>
        <w:t xml:space="preserve">TORV, LLC</w:t>
      </w:r>
      <w:r>
        <w:br/>
      </w:r>
      <w:r>
        <w:t xml:space="preserve">970.409.9874</w:t>
      </w:r>
      <w:r>
        <w:br/>
      </w:r>
      <w:r>
        <w:t xml:space="preserve">eric@torv.me</w:t>
      </w:r>
    </w:p>
    <w:p>
      <w:r>
        <w:br w:type="page"/>
      </w:r>
    </w:p>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drawing>
          <wp:inline distT="0" distB="0" distL="0" distR="0">
            <wp:extent cx="7315200" cy="9144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24"/>
                    <a:stretch>
                      <a:fillRect/>
                    </a:stretch>
                  </pic:blipFill>
                  <pic:spPr bwMode="auto">
                    <a:xfrm>
                      <a:off x="0" y="0"/>
                      <a:ext cx="101600" cy="12700"/>
                    </a:xfrm>
                    <a:prstGeom prst="rect">
                      <a:avLst/>
                    </a:prstGeom>
                    <a:noFill/>
                  </pic:spPr>
                </pic:pic>
              </a:graphicData>
            </a:graphic>
          </wp:inline>
        </w:drawing>
      </w:r>
    </w:p>
    <w:bookmarkStart w:id="24" w:name="organic-matter"/>
    <w:p>
      <w:pPr>
        <w:pStyle w:val="Heading2"/>
      </w:pPr>
      <w:r>
        <w:t xml:space="preserve">Organic Matter</w:t>
      </w:r>
    </w:p>
    <w:p>
      <w:pPr>
        <w:pStyle w:val="FirstParagraph"/>
      </w:pPr>
      <w:r>
        <w:t xml:space="preserve">The mean OM measurements can be summarised as follows:</w:t>
      </w:r>
    </w:p>
    <w:p>
      <w:pPr>
        <w:numPr>
          <w:ilvl w:val="0"/>
          <w:numId w:val="1001"/>
        </w:numPr>
        <w:pStyle w:val="Compact"/>
      </w:pPr>
      <w:r>
        <w:t xml:space="preserve">The</w:t>
      </w:r>
      <w:r>
        <w:t xml:space="preserve"> </w:t>
      </w:r>
      <w:r>
        <w:rPr>
          <w:bCs/>
          <w:b/>
        </w:rPr>
        <w:t xml:space="preserve">GREEN</w:t>
      </w:r>
      <w:r>
        <w:t xml:space="preserve"> </w:t>
      </w:r>
      <w:r>
        <w:t xml:space="preserve">samples taken on December 16th, 2021 were as follows:</w:t>
      </w:r>
    </w:p>
    <w:p>
      <w:pPr>
        <w:numPr>
          <w:ilvl w:val="1"/>
          <w:numId w:val="1002"/>
        </w:numPr>
        <w:pStyle w:val="Compact"/>
      </w:pPr>
      <w:r>
        <w:t xml:space="preserve">At a depth of</w:t>
      </w:r>
      <w:r>
        <w:t xml:space="preserve"> </w:t>
      </w:r>
      <w:r>
        <w:rPr>
          <w:bCs/>
          <w:b/>
        </w:rPr>
        <w:t xml:space="preserve">0-2 cm</w:t>
      </w:r>
      <w:r>
        <w:t xml:space="preserve">, the OM content was</w:t>
      </w:r>
      <w:r>
        <w:t xml:space="preserve"> </w:t>
      </w:r>
      <w:r>
        <w:rPr>
          <w:bCs/>
          <w:b/>
        </w:rPr>
        <w:t xml:space="preserve">5.77%</w:t>
      </w:r>
      <w:r>
        <w:t xml:space="preserve">.</w:t>
      </w:r>
    </w:p>
    <w:p>
      <w:pPr>
        <w:numPr>
          <w:ilvl w:val="1"/>
          <w:numId w:val="1002"/>
        </w:numPr>
        <w:pStyle w:val="Compact"/>
      </w:pPr>
      <w:r>
        <w:t xml:space="preserve">At a depth of</w:t>
      </w:r>
      <w:r>
        <w:t xml:space="preserve"> </w:t>
      </w:r>
      <w:r>
        <w:rPr>
          <w:bCs/>
          <w:b/>
        </w:rPr>
        <w:t xml:space="preserve">2-4 cm</w:t>
      </w:r>
      <w:r>
        <w:t xml:space="preserve">, the OM content was</w:t>
      </w:r>
      <w:r>
        <w:t xml:space="preserve"> </w:t>
      </w:r>
      <w:r>
        <w:rPr>
          <w:bCs/>
          <w:b/>
        </w:rPr>
        <w:t xml:space="preserve">4.38%</w:t>
      </w:r>
      <w:r>
        <w:t xml:space="preserve">.</w:t>
      </w:r>
    </w:p>
    <w:p>
      <w:pPr>
        <w:numPr>
          <w:ilvl w:val="1"/>
          <w:numId w:val="1002"/>
        </w:numPr>
        <w:pStyle w:val="Compact"/>
      </w:pPr>
      <w:r>
        <w:t xml:space="preserve">At a depth of</w:t>
      </w:r>
      <w:r>
        <w:t xml:space="preserve"> </w:t>
      </w:r>
      <w:r>
        <w:rPr>
          <w:bCs/>
          <w:b/>
        </w:rPr>
        <w:t xml:space="preserve">4-6 cm</w:t>
      </w:r>
      <w:r>
        <w:t xml:space="preserve">, the OM content was</w:t>
      </w:r>
      <w:r>
        <w:t xml:space="preserve"> </w:t>
      </w:r>
      <w:r>
        <w:rPr>
          <w:bCs/>
          <w:b/>
        </w:rPr>
        <w:t xml:space="preserve">2.93%</w:t>
      </w:r>
      <w:r>
        <w:t xml:space="preserve">.</w:t>
      </w:r>
    </w:p>
    <w:p>
      <w:pPr>
        <w:pStyle w:val="FirstParagraph"/>
      </w:pPr>
      <w:r>
        <w:t xml:space="preserve">The lab results represent the baseline from which to make cultural decisions. Like calibrating a TDR measurement for soil moisture content based on subjective observations, the OM246 test should be thought of in the same context. Playability and overall green performance should be considered.</w:t>
      </w:r>
    </w:p>
    <w:p>
      <w:pPr>
        <w:pStyle w:val="BodyText"/>
      </w:pPr>
      <w:r>
        <w:t xml:space="preserve">The TORV average line in the Organic Matter graphics represent the average of all TORV clients for the represented depth. Testing annually at the same time is recommended. Testing in spring and again in fall is also common practice for many properties if that is of interest. When the test is performed again, we will be able to:</w:t>
      </w:r>
    </w:p>
    <w:p>
      <w:pPr>
        <w:numPr>
          <w:ilvl w:val="0"/>
          <w:numId w:val="1003"/>
        </w:numPr>
      </w:pPr>
      <w:r>
        <w:t xml:space="preserve">Add a trendline visualizing how the OM% is trending.</w:t>
      </w:r>
    </w:p>
    <w:p>
      <w:pPr>
        <w:numPr>
          <w:ilvl w:val="0"/>
          <w:numId w:val="1003"/>
        </w:numPr>
      </w:pPr>
      <w:r>
        <w:t xml:space="preserve">Calculate the organic matter accumulated or lost over a known period.</w:t>
      </w:r>
    </w:p>
    <w:p>
      <w:pPr>
        <w:numPr>
          <w:ilvl w:val="0"/>
          <w:numId w:val="1003"/>
        </w:numPr>
      </w:pPr>
      <w:r>
        <w:t xml:space="preserve">Using a known amount of topdressing applied, we can estimate/calculate the Amount of topdressing needed to maintain, increase, or decrease the organic matter.</w:t>
      </w:r>
    </w:p>
    <w:p>
      <w:pPr>
        <w:numPr>
          <w:ilvl w:val="0"/>
          <w:numId w:val="1003"/>
        </w:numPr>
      </w:pPr>
      <w:r>
        <w:t xml:space="preserve">Consider obtaining an accurate topdressing rate per year to make this calculation possible. What is the estimated depth of all topdressing applications applied this year?</w:t>
      </w:r>
    </w:p>
    <w:p>
      <w:pPr>
        <w:numPr>
          <w:ilvl w:val="0"/>
          <w:numId w:val="1003"/>
        </w:numPr>
      </w:pPr>
      <w:hyperlink r:id="rId20">
        <w:r>
          <w:rPr>
            <w:rStyle w:val="Hyperlink"/>
          </w:rPr>
          <w:t xml:space="preserve">This video from the USGA</w:t>
        </w:r>
      </w:hyperlink>
      <w:r>
        <w:t xml:space="preserve"> </w:t>
      </w:r>
      <w:r>
        <w:t xml:space="preserve">shows how to calculate the depth along with the required conversion equations.</w:t>
      </w:r>
    </w:p>
    <w:p>
      <w:pPr>
        <w:numPr>
          <w:ilvl w:val="0"/>
          <w:numId w:val="1003"/>
        </w:numPr>
      </w:pPr>
      <w:r>
        <w:t xml:space="preserve">Cultural decisions such as aerification, verticutting, topdressing amounts/frequency can be influenced by tracking organic matter over time and established goals for organic matter targets.</w:t>
      </w:r>
    </w:p>
    <w:p>
      <w:pPr>
        <w:pStyle w:val="FirstParagraph"/>
      </w:pPr>
      <w:r>
        <w:t xml:space="preserve">[TODO: Additional comments]</w:t>
      </w:r>
    </w:p>
    <w:p>
      <w:r>
        <w:br w:type="page"/>
      </w:r>
    </w:p>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drawing>
          <wp:inline distT="0" distB="0" distL="0" distR="0">
            <wp:extent cx="7315200" cy="9144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25"/>
                    <a:stretch>
                      <a:fillRect/>
                    </a:stretch>
                  </pic:blipFill>
                  <pic:spPr bwMode="auto">
                    <a:xfrm>
                      <a:off x="0" y="0"/>
                      <a:ext cx="101600" cy="12700"/>
                    </a:xfrm>
                    <a:prstGeom prst="rect">
                      <a:avLst/>
                    </a:prstGeom>
                    <a:noFill/>
                  </pic:spPr>
                </pic:pic>
              </a:graphicData>
            </a:graphic>
          </wp:inline>
        </w:drawing>
      </w:r>
    </w:p>
    <w:p>
      <w:pPr>
        <w:pStyle w:val="BodyText"/>
      </w:pPr>
      <w:r>
        <w:t xml:space="preserve">These measurements are neither good nor bad. Information such as fertilizer applied, cultural practices, sand applied, verti-cutting, aerification, etc. can be used to see how these practices have changed the OM% by depth. Ideally, once a desired OM% has been identified based on playability and turf performance, fertility and cultural practices can be adjusted to maintain the desired OM%.</w:t>
      </w:r>
    </w:p>
    <w:p>
      <w:pPr>
        <w:pStyle w:val="BodyText"/>
      </w:pPr>
      <w:r>
        <w:t xml:space="preserve">The S325 test package includes the entire sample submitted. This includes leaves, stems, and roots. This differs from the standard soil test which filters out most of the components. This is the reason why the percentages appear higher than that on a standard soil test.</w:t>
      </w:r>
    </w:p>
    <w:p>
      <w:pPr>
        <w:pStyle w:val="BodyText"/>
      </w:pPr>
      <w:r>
        <w:drawing>
          <wp:inline>
            <wp:extent cx="5943600" cy="3654551"/>
            <wp:effectExtent b="0" l="0" r="0" t="0"/>
            <wp:docPr descr="" title="" id="9" name="Picture"/>
            <a:graphic>
              <a:graphicData uri="http://schemas.openxmlformats.org/drawingml/2006/picture">
                <pic:pic>
                  <pic:nvPicPr>
                    <pic:cNvPr descr="/Users/ericfoerster/torv-reports/tests/test-reports/Bartlett_202112/figures/organic_matter/om_plot_GREEN.png" id="10" name="Picture"/>
                    <pic:cNvPicPr>
                      <a:picLocks noChangeArrowheads="1" noChangeAspect="1"/>
                    </pic:cNvPicPr>
                  </pic:nvPicPr>
                  <pic:blipFill>
                    <a:blip r:embed="rId21"/>
                    <a:stretch>
                      <a:fillRect/>
                    </a:stretch>
                  </pic:blipFill>
                  <pic:spPr bwMode="auto">
                    <a:xfrm>
                      <a:off x="0" y="0"/>
                      <a:ext cx="5943600" cy="3654551"/>
                    </a:xfrm>
                    <a:prstGeom prst="rect">
                      <a:avLst/>
                    </a:prstGeom>
                    <a:noFill/>
                    <a:ln w="9525">
                      <a:noFill/>
                      <a:headEnd/>
                      <a:tailEnd/>
                    </a:ln>
                  </pic:spPr>
                </pic:pic>
              </a:graphicData>
            </a:graphic>
          </wp:inline>
        </w:drawing>
      </w:r>
    </w:p>
    <w:bookmarkEnd w:id="24"/>
    <w:sectPr w:officer="true">
      <w:pgMar w:header="720" w:bottom="1440" w:top="965" w:right="1440" w:left="1440" w:footer="720" w:gutter="0"/>
      <w:pgSz w:h="15840" w:w="12240"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Rowan">
    <w:panose1 w:val="00000000000000000000"/>
    <w:charset w:val="00"/>
    <w:family w:val="modern"/>
    <w:notTrueType/>
    <w:pitch w:val="variable"/>
    <w:sig w:usb0="8000006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4D"/>
    <w:family w:val="swiss"/>
    <w:pitch w:val="variable"/>
    <w:sig w:usb0="800000AF" w:usb1="4000604A" w:usb2="00000000" w:usb3="00000000" w:csb0="00000093"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85B28204"/>
    <w:lvl w:ilvl="0">
      <w:start w:val="1"/>
      <w:numFmt w:val="bullet"/>
      <w:lvlText w:val=""/>
      <w:lvlJc w:val="left"/>
      <w:pPr>
        <w:ind w:hanging="480" w:left="720"/>
      </w:pPr>
      <w:rPr>
        <w:rFonts w:ascii="Symbol" w:hAnsi="Symbol" w:hint="default"/>
      </w:r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
    <w:nsid w:val="FFFFFF7C"/>
    <w:multiLevelType w:val="singleLevel"/>
    <w:tmpl w:val="5E36DB6C"/>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F46216C8"/>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B7C6AD9E"/>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05CCD2E2"/>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0AC6B19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2FA4F49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5CE0856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1930CE70"/>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A10CCE1E"/>
    <w:lvl w:ilvl="0">
      <w:start w:val="1"/>
      <w:numFmt w:val="decimal"/>
      <w:pStyle w:val="ListNumber"/>
      <w:lvlText w:val="%1."/>
      <w:lvlJc w:val="left"/>
      <w:pPr>
        <w:tabs>
          <w:tab w:pos="360" w:val="num"/>
        </w:tabs>
        <w:ind w:hanging="360" w:left="360"/>
      </w:pPr>
    </w:lvl>
  </w:abstractNum>
  <w:abstractNum w15:restartNumberingAfterBreak="0" w:abstractNumId="10">
    <w:nsid w:val="FFFFFF89"/>
    <w:multiLevelType w:val="singleLevel"/>
    <w:tmpl w:val="19FE7586"/>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1">
    <w:nsid w:val="0000A991"/>
    <w:multiLevelType w:val="multilevel"/>
    <w:tmpl w:val="3B743A1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0DFC2FA7"/>
    <w:multiLevelType w:val="hybridMultilevel"/>
    <w:tmpl w:val="77B00678"/>
    <w:lvl w:ilvl="0" w:tplc="0809000F">
      <w:start w:val="1"/>
      <w:numFmt w:val="decimal"/>
      <w:lvlText w:val="%1."/>
      <w:lvlJc w:val="left"/>
      <w:pPr>
        <w:ind w:hanging="360" w:left="720"/>
      </w:pPr>
      <w:rPr>
        <w:rFonts w:hint="default"/>
      </w:r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13">
    <w:nsid w:val="2C1AE401"/>
    <w:multiLevelType w:val="multilevel"/>
    <w:tmpl w:val="43E8AAB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4">
    <w:nsid w:val="71315DCA"/>
    <w:multiLevelType w:val="multilevel"/>
    <w:tmpl w:val="5618284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5">
    <w:nsid w:val="7A960D59"/>
    <w:multiLevelType w:val="hybridMultilevel"/>
    <w:tmpl w:val="8BEC718E"/>
    <w:lvl w:ilvl="0" w:tplc="08090001">
      <w:start w:val="1"/>
      <w:numFmt w:val="bullet"/>
      <w:lvlText w:val=""/>
      <w:lvlJc w:val="left"/>
      <w:pPr>
        <w:ind w:hanging="360" w:left="720"/>
      </w:pPr>
      <w:rPr>
        <w:rFonts w:ascii="Symbol"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35359359" w:numId="1">
    <w:abstractNumId w:val="13"/>
  </w:num>
  <w:num w16cid:durableId="199703703"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50287311" w:numId="3">
    <w:abstractNumId w:val="14"/>
  </w:num>
  <w:num w16cid:durableId="1791317968" w:numId="4">
    <w:abstractNumId w:val="14"/>
  </w:num>
  <w:num w16cid:durableId="242107826" w:numId="5">
    <w:abstractNumId w:val="14"/>
  </w:num>
  <w:num w16cid:durableId="1438678812" w:numId="6">
    <w:abstractNumId w:val="14"/>
  </w:num>
  <w:num w16cid:durableId="1630941703" w:numId="7">
    <w:abstractNumId w:val="14"/>
  </w:num>
  <w:num w16cid:durableId="2039424505" w:numId="8">
    <w:abstractNumId w:val="10"/>
  </w:num>
  <w:num w16cid:durableId="1858620148" w:numId="9">
    <w:abstractNumId w:val="8"/>
  </w:num>
  <w:num w16cid:durableId="1196043941" w:numId="10">
    <w:abstractNumId w:val="7"/>
  </w:num>
  <w:num w16cid:durableId="154734522" w:numId="11">
    <w:abstractNumId w:val="6"/>
  </w:num>
  <w:num w16cid:durableId="1531599966" w:numId="12">
    <w:abstractNumId w:val="5"/>
  </w:num>
  <w:num w16cid:durableId="358625379" w:numId="13">
    <w:abstractNumId w:val="9"/>
  </w:num>
  <w:num w16cid:durableId="1231768313" w:numId="14">
    <w:abstractNumId w:val="4"/>
  </w:num>
  <w:num w16cid:durableId="1609659278" w:numId="15">
    <w:abstractNumId w:val="3"/>
  </w:num>
  <w:num w16cid:durableId="1388260359" w:numId="16">
    <w:abstractNumId w:val="2"/>
  </w:num>
  <w:num w16cid:durableId="1711538827" w:numId="17">
    <w:abstractNumId w:val="1"/>
  </w:num>
  <w:num w16cid:durableId="797650375" w:numId="18">
    <w:abstractNumId w:val="13"/>
  </w:num>
  <w:num w16cid:durableId="975255473"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456262649" w:numId="20">
    <w:abstractNumId w:val="14"/>
  </w:num>
  <w:num w16cid:durableId="1305740974" w:numId="21">
    <w:abstractNumId w:val="14"/>
  </w:num>
  <w:num w16cid:durableId="1876382107" w:numId="22">
    <w:abstractNumId w:val="14"/>
  </w:num>
  <w:num w16cid:durableId="127407136" w:numId="23">
    <w:abstractNumId w:val="14"/>
  </w:num>
  <w:num w16cid:durableId="1694261379" w:numId="24">
    <w:abstractNumId w:val="14"/>
  </w:num>
  <w:num w16cid:durableId="1813256415" w:numId="25">
    <w:abstractNumId w:val="13"/>
  </w:num>
  <w:num w16cid:durableId="98531368"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80738517" w:numId="27">
    <w:abstractNumId w:val="14"/>
  </w:num>
  <w:num w16cid:durableId="2101565501" w:numId="28">
    <w:abstractNumId w:val="14"/>
  </w:num>
  <w:num w16cid:durableId="80956689" w:numId="29">
    <w:abstractNumId w:val="14"/>
  </w:num>
  <w:num w16cid:durableId="1254633671" w:numId="30">
    <w:abstractNumId w:val="14"/>
  </w:num>
  <w:num w16cid:durableId="1466122126" w:numId="31">
    <w:abstractNumId w:val="14"/>
  </w:num>
  <w:num w16cid:durableId="95684412" w:numId="32">
    <w:abstractNumId w:val="13"/>
  </w:num>
  <w:num w16cid:durableId="2062366476" w:numId="33">
    <w:abstractNumId w:val="0"/>
  </w:num>
  <w:num w16cid:durableId="584188378" w:numId="34">
    <w:abstractNumId w:val="14"/>
  </w:num>
  <w:num w16cid:durableId="2055419173" w:numId="35">
    <w:abstractNumId w:val="14"/>
  </w:num>
  <w:num w16cid:durableId="611321284" w:numId="36">
    <w:abstractNumId w:val="14"/>
  </w:num>
  <w:num w16cid:durableId="1570657001" w:numId="37">
    <w:abstractNumId w:val="14"/>
  </w:num>
  <w:num w16cid:durableId="1276907278" w:numId="38">
    <w:abstractNumId w:val="14"/>
  </w:num>
  <w:num w16cid:durableId="84226817" w:numId="39">
    <w:abstractNumId w:val="12"/>
  </w:num>
  <w:num w16cid:durableId="920062791" w:numId="40">
    <w:abstractNumId w:val="15"/>
  </w:num>
  <w:num w16cid:durableId="996615908" w:numId="41">
    <w:abstractNumId w:val="11"/>
  </w:num>
  <w:num w:numId="1000">
    <w:abstractNumId w:val="990"/>
  </w:num>
  <w:num w:numId="1001">
    <w:abstractNumId w:val="991"/>
  </w:num>
  <w:num w:numId="1002">
    <w:abstractNumId w:val="991"/>
  </w:num>
  <w:num w:numId="1003">
    <w:abstractNumId w:val="991"/>
  </w:num>
</w:numbering>
</file>

<file path=word/settings.xml><?xml version="1.0" encoding="utf-8"?>
<w:settings xmlns:w="http://schemas.openxmlformats.org/wordprocessingml/2006/main">
  <w:zoom w:percent="8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635AD"/>
    <w:rPr>
      <w:rFonts w:ascii="Rowan" w:hAnsi="Rowan"/>
      <w:sz w:val="22"/>
    </w:rPr>
  </w:style>
  <w:style w:styleId="Heading1" w:type="paragraph">
    <w:name w:val="heading 1"/>
    <w:basedOn w:val="Normal"/>
    <w:next w:val="BodyText"/>
    <w:uiPriority w:val="9"/>
    <w:qFormat/>
    <w:rsid w:val="00671BA2"/>
    <w:pPr>
      <w:keepNext/>
      <w:keepLines/>
      <w:spacing w:after="0" w:before="480"/>
      <w:outlineLvl w:val="0"/>
    </w:pPr>
    <w:rPr>
      <w:rFonts w:asciiTheme="majorHAnsi" w:cstheme="majorBidi"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E635AD"/>
    <w:pPr>
      <w:keepNext/>
      <w:keepLines/>
      <w:spacing w:after="120" w:before="320"/>
      <w:outlineLvl w:val="1"/>
    </w:pPr>
    <w:rPr>
      <w:rFonts w:ascii="Lato" w:cstheme="majorBidi" w:eastAsiaTheme="majorEastAsia" w:hAnsi="Lato"/>
      <w:b/>
      <w:bCs/>
      <w:color w:themeColor="text1" w:val="000000"/>
      <w:sz w:val="26"/>
      <w:szCs w:val="28"/>
    </w:rPr>
  </w:style>
  <w:style w:styleId="Heading3" w:type="paragraph">
    <w:name w:val="heading 3"/>
    <w:basedOn w:val="Normal"/>
    <w:next w:val="BodyText"/>
    <w:uiPriority w:val="9"/>
    <w:unhideWhenUsed/>
    <w:qFormat/>
    <w:rsid w:val="0018706B"/>
    <w:pPr>
      <w:keepNext/>
      <w:keepLines/>
      <w:spacing w:after="0" w:before="200"/>
      <w:outlineLvl w:val="2"/>
    </w:pPr>
    <w:rPr>
      <w:rFonts w:ascii="Lato" w:cstheme="majorBidi" w:eastAsiaTheme="majorEastAsia" w:hAnsi="Lato"/>
      <w:b/>
      <w:bCs/>
      <w:color w:themeColor="text1" w:val="000000"/>
      <w:sz w:val="24"/>
    </w:rPr>
  </w:style>
  <w:style w:styleId="Heading4" w:type="paragraph">
    <w:name w:val="heading 4"/>
    <w:basedOn w:val="Normal"/>
    <w:next w:val="BodyText"/>
    <w:uiPriority w:val="9"/>
    <w:unhideWhenUsed/>
    <w:qFormat/>
    <w:rsid w:val="00671BA2"/>
    <w:pPr>
      <w:keepNext/>
      <w:keepLines/>
      <w:spacing w:after="0" w:before="200"/>
      <w:outlineLvl w:val="3"/>
    </w:pPr>
    <w:rPr>
      <w:rFonts w:asciiTheme="majorHAnsi" w:cstheme="majorBidi" w:eastAsiaTheme="majorEastAsia" w:hAnsiTheme="majorHAnsi"/>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E635A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E635AD"/>
    <w:rPr>
      <w:rFonts w:ascii="Rowan" w:hAnsi="Rowan"/>
      <w:sz w:val="22"/>
    </w:rPr>
  </w:style>
  <w:style w:styleId="BalloonText" w:type="paragraph">
    <w:name w:val="Balloon Text"/>
    <w:basedOn w:val="Normal"/>
    <w:link w:val="BalloonTextChar"/>
    <w:semiHidden/>
    <w:unhideWhenUsed/>
    <w:rsid w:val="002152DB"/>
    <w:pPr>
      <w:spacing w:after="0"/>
    </w:pPr>
    <w:rPr>
      <w:rFonts w:ascii="Tahoma" w:cs="Tahoma" w:hAnsi="Tahoma"/>
      <w:sz w:val="16"/>
      <w:szCs w:val="16"/>
    </w:rPr>
  </w:style>
  <w:style w:customStyle="1" w:styleId="BalloonTextChar" w:type="character">
    <w:name w:val="Balloon Text Char"/>
    <w:basedOn w:val="DefaultParagraphFont"/>
    <w:link w:val="BalloonText"/>
    <w:semiHidden/>
    <w:rsid w:val="002152DB"/>
    <w:rPr>
      <w:rFonts w:ascii="Tahoma" w:cs="Tahoma" w:hAnsi="Tahoma"/>
      <w:sz w:val="16"/>
      <w:szCs w:val="16"/>
    </w:rPr>
  </w:style>
  <w:style w:styleId="ListBullet" w:type="paragraph">
    <w:name w:val="List Bullet"/>
    <w:basedOn w:val="Normal"/>
    <w:unhideWhenUsed/>
    <w:rsid w:val="00C15EE3"/>
    <w:pPr>
      <w:numPr>
        <w:numId w:val="8"/>
      </w:numPr>
      <w:contextualSpacing/>
    </w:pPr>
  </w:style>
  <w:style w:styleId="ListNumber" w:type="paragraph">
    <w:name w:val="List Number"/>
    <w:basedOn w:val="Normal"/>
    <w:unhideWhenUsed/>
    <w:rsid w:val="00C15EE3"/>
    <w:pPr>
      <w:numPr>
        <w:numId w:val="13"/>
      </w:numPr>
      <w:contextualSpacing/>
    </w:pPr>
  </w:style>
  <w:style w:styleId="Header" w:type="paragraph">
    <w:name w:val="header"/>
    <w:basedOn w:val="Normal"/>
    <w:link w:val="HeaderChar"/>
    <w:unhideWhenUsed/>
    <w:rsid w:val="00B31334"/>
    <w:pPr>
      <w:tabs>
        <w:tab w:pos="4680" w:val="center"/>
        <w:tab w:pos="9360" w:val="right"/>
      </w:tabs>
      <w:spacing w:after="0"/>
    </w:pPr>
  </w:style>
  <w:style w:customStyle="1" w:styleId="HeaderChar" w:type="character">
    <w:name w:val="Header Char"/>
    <w:basedOn w:val="DefaultParagraphFont"/>
    <w:link w:val="Header"/>
    <w:rsid w:val="00B31334"/>
  </w:style>
  <w:style w:styleId="Footer" w:type="paragraph">
    <w:name w:val="footer"/>
    <w:basedOn w:val="Normal"/>
    <w:link w:val="FooterChar"/>
    <w:unhideWhenUsed/>
    <w:rsid w:val="00B31334"/>
    <w:pPr>
      <w:tabs>
        <w:tab w:pos="4680" w:val="center"/>
        <w:tab w:pos="9360" w:val="right"/>
      </w:tabs>
      <w:spacing w:after="0"/>
    </w:pPr>
  </w:style>
  <w:style w:customStyle="1" w:styleId="FooterChar" w:type="character">
    <w:name w:val="Footer Char"/>
    <w:basedOn w:val="DefaultParagraphFont"/>
    <w:link w:val="Footer"/>
    <w:rsid w:val="00B313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21" Type="http://schemas.openxmlformats.org/officeDocument/2006/relationships/image" Target="media/rId21.png"/>
<Relationship Id="rId20" Type="http://schemas.openxmlformats.org/officeDocument/2006/relationships/hyperlink" Target="https://www.asianturfgrass.com/post/sand-topdressing-by-depth/" TargetMode="External"/>
<Relationship Id="rId22" Type="http://schemas.openxmlformats.org/officeDocument/2006/relationships/image" Target="media/f1e44b35dc3b336f10d922b3d7e3f7b215a0800f.png"/>
<Relationship Id="rId23" Type="http://schemas.openxmlformats.org/officeDocument/2006/relationships/image" Target="media/dbf2b3befc4242964a94bbcd181645fb88c2ed49.png"/>
<Relationship Id="rId24" Type="http://schemas.openxmlformats.org/officeDocument/2006/relationships/image" Target="media/7d98893e38e2a18e1e2e48865f4cc9e2f377204c.png"/>
<Relationship Id="rId25" Type="http://schemas.openxmlformats.org/officeDocument/2006/relationships/image" Target="media/bd60db8755f8125e9ffedc58d94b8fbda0c2c37b.png"/>
</Relationships>

</file>

<file path=word/_rels/footnotes.xml.rels><?xml version="1.0" encoding="UTF-8" standalone="yes"?>

<Relationships  xmlns="http://schemas.openxmlformats.org/package/2006/relationships">
<Relationship Id="rId20" Type="http://schemas.openxmlformats.org/officeDocument/2006/relationships/hyperlink" Target="https://www.asianturfgrass.com/post/sand-topdressing-by-dept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
  <cp:keywords/>
  <dcterms:created xsi:type="dcterms:W3CDTF">2023-11-22T21:27:05Z</dcterms:created>
  <dcterms:modified xsi:type="dcterms:W3CDTF">2023-11-22T14:27:05Z</dcterms:modified>
  <cp:lastModifiedBy>ericfoerster</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