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4.png" ContentType="image/png"/>
  <Override PartName="/word/media/image6.png" ContentType="image/png"/>
  <Override PartName="/word/media/image4.png" ContentType="image/png"/>
  <Override PartName="/word/media/image3.png" ContentType="image/png"/>
  <Override PartName="/word/media/image1.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righ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2322286" cy="685800"/>
            <wp:docPr id="1" name="" descr="TORV Sustainable Agr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6"/>
                    <a:srcRect/>
                    <a:stretch>
                      <a:fillRect/>
                    </a:stretch>
                  </pic:blipFill>
                  <pic:spPr bwMode="auto">
                    <a:xfrm>
                      <a:off x="0" y="0"/>
                      <a:ext cx="32254" cy="9525"/>
                    </a:xfrm>
                    <a:prstGeom prst="rect">
                      <a:avLst/>
                    </a:prstGeom>
                    <a:noFill/>
                  </pic:spPr>
                </pic:pic>
              </a:graphicData>
            </a:graphic>
          </wp:inline>
        </w:drawing>
      </w:r>
    </w:p>
    <w:p>
      <w:pPr>
        <w:pStyle w:val="FirstParagraph"/>
      </w:pPr>
      <w:r>
        <w:t xml:space="preserve">November 17, 2021</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1431235" cy="228600"/>
            <wp:docPr id="3" name=""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19878" cy="3175"/>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101600" cy="12700"/>
                    </a:xfrm>
                    <a:prstGeom prst="rect">
                      <a:avLst/>
                    </a:prstGeom>
                    <a:noFill/>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101600" cy="12700"/>
                    </a:xfrm>
                    <a:prstGeom prst="rect">
                      <a:avLst/>
                    </a:prstGeom>
                    <a:noFill/>
                  </pic:spPr>
                </pic:pic>
              </a:graphicData>
            </a:graphic>
          </wp:inline>
        </w:drawing>
      </w:r>
    </w:p>
    <w:bookmarkStart w:id="20" w:name="green"/>
    <w:p>
      <w:pPr>
        <w:pStyle w:val="Heading2"/>
      </w:pPr>
      <w:r>
        <w:t xml:space="preserve">Green</w:t>
      </w:r>
    </w:p>
    <w:p>
      <w:pPr>
        <w:numPr>
          <w:ilvl w:val="0"/>
          <w:numId w:val="1001"/>
        </w:numPr>
        <w:pStyle w:val="Compact"/>
      </w:pPr>
      <w:r>
        <w:t xml:space="preserve">Lorem ipsum dolor sit amet, consectetur adipiscing elit. Maecenas facilisis sollicitudin magna at condimentum. Vestibulum at aliquam lorem. Aliquam ut nibh pretium, volutpat metus eu, fermentum velit.</w:t>
      </w:r>
    </w:p>
    <w:bookmarkEnd w:id="20"/>
    <w:bookmarkStart w:id="22" w:name="organic-matter"/>
    <w:p>
      <w:pPr>
        <w:pStyle w:val="Heading2"/>
      </w:pPr>
      <w:r>
        <w:t xml:space="preserve">Organic Matter</w:t>
      </w:r>
    </w:p>
    <w:p>
      <w:pPr>
        <w:numPr>
          <w:ilvl w:val="0"/>
          <w:numId w:val="1002"/>
        </w:numPr>
        <w:pStyle w:val="Compact"/>
      </w:pPr>
      <w:r>
        <w:t xml:space="preserve">Lorem ipsum dolor sit amet, consectetur adipiscing elit. Maecenas facilisis sollicitudin magna at condimentum. Vestibulum at aliquam lorem. Aliquam ut nibh pretium, volutpat metus eu, fermentum velit.</w:t>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101600" cy="12700"/>
                    </a:xfrm>
                    <a:prstGeom prst="rect">
                      <a:avLst/>
                    </a:prstGeom>
                    <a:noFill/>
                  </pic:spPr>
                </pic:pic>
              </a:graphicData>
            </a:graphic>
          </wp:inline>
        </w:drawing>
      </w:r>
    </w:p>
    <w:p>
      <w:pPr>
        <w:pStyle w:val="FirstParagraph"/>
      </w:pPr>
      <w:r>
        <w:t xml:space="preserve">The temperature data is provided by NOAA using 30-year climate normals and is site-specific to your location. Pace Turf, LLC (Gelernter and Stowell, 2005) developed the growth potential model to explain the myriad of ways in which weather impacts turf growth. The model considers turf growth to be good when the GP is between 50% and 100% (the best possible growth occurs at a GP of 100%). However, when weather conditions are either too hot or too cold for optimal turf growth, the GP falls below 50%, and turf becomes progressively more stressed. When the GP falls to 10% or lower, growth is extremely limited. Appearing below is your model specific to Sonnenalp Golf Club.</w:t>
      </w:r>
    </w:p>
    <w:p>
      <w:pPr>
        <w:pStyle w:val="BodyText"/>
      </w:pPr>
      <w:r>
        <w:drawing>
          <wp:inline>
            <wp:extent cx="5963478" cy="3666774"/>
            <wp:effectExtent b="0" l="0" r="0" t="0"/>
            <wp:docPr descr="" title="" id="11" name="Picture"/>
            <a:graphic>
              <a:graphicData uri="http://schemas.openxmlformats.org/drawingml/2006/picture">
                <pic:pic>
                  <pic:nvPicPr>
                    <pic:cNvPr descr="figures/monthly_growth_potential_plot.png" id="12" name="Picture"/>
                    <pic:cNvPicPr>
                      <a:picLocks noChangeArrowheads="1" noChangeAspect="1"/>
                    </pic:cNvPicPr>
                  </pic:nvPicPr>
                  <pic:blipFill>
                    <a:blip r:embed="rId21"/>
                    <a:stretch>
                      <a:fillRect/>
                    </a:stretch>
                  </pic:blipFill>
                  <pic:spPr bwMode="auto">
                    <a:xfrm>
                      <a:off x="0" y="0"/>
                      <a:ext cx="5963478" cy="3666774"/>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a:srcRect/>
                    <a:stretch>
                      <a:fillRect/>
                    </a:stretch>
                  </pic:blipFill>
                  <pic:spPr bwMode="auto">
                    <a:xfrm>
                      <a:off x="0" y="0"/>
                      <a:ext cx="101600" cy="12700"/>
                    </a:xfrm>
                    <a:prstGeom prst="rect">
                      <a:avLst/>
                    </a:prstGeom>
                    <a:noFill/>
                  </pic:spPr>
                </pic:pic>
              </a:graphicData>
            </a:graphic>
          </wp:inline>
        </w:drawing>
      </w:r>
    </w:p>
    <w:p>
      <w:pPr>
        <w:pStyle w:val="BodyText"/>
      </w:pPr>
    </w:p>
    <w:p>
      <w:pPr>
        <w:pStyle w:val="BodyText"/>
      </w:pPr>
      <w:r>
        <w:t xml:space="preserve">The following tables represent the calculated MLSN values and required elemental inputs based on the provided nitrogen input and the Turf Growth Potential Model.</w:t>
      </w:r>
    </w:p>
    <w:p>
      <w:pPr>
        <w:pStyle w:val="BodyText"/>
      </w:pPr>
      <w:r>
        <w:t xml:space="preserve"> </w:t>
      </w:r>
    </w:p>
    <w:bookmarkEnd w:id="22"/>
    <w:bookmarkStart w:id="23" w:name="mlsn-values-ppm"/>
    <w:p>
      <w:pPr>
        <w:pStyle w:val="Heading2"/>
      </w:pPr>
      <w:r>
        <w:t xml:space="preserve">MLSN Values (ppm)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43</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23</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332</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48</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7</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44</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6</w:t>
            </w:r>
          </w:p>
        </w:tc>
      </w:tr>
    </w:tbl>
    <w:p>
      <w:pPr>
        <w:pStyle w:val="FirstParagraph"/>
      </w:pPr>
      <w:r>
        <w:t xml:space="preserve"> </w:t>
      </w:r>
    </w:p>
    <w:bookmarkEnd w:id="23"/>
    <w:bookmarkStart w:id="26" w:name="X432303563c4994b154731f80ba9594afa4665fa"/>
    <w:p>
      <w:pPr>
        <w:pStyle w:val="Heading2"/>
      </w:pPr>
      <w:r>
        <w:t xml:space="preserve">Required element per area (lbs. per 1000 sq.ft.)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Area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O</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bscript"/>
                <w:sz w:val="22"/>
                <w:szCs w:val="22"/>
                <w:color w:val="EC8C35"/>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Fe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EC8C35"/>
              </w:rPr>
              <w:t xml:space="preserve">Mn</w:t>
            </w:r>
          </w:p>
        </w:tc>
      </w:tr>
      <w:tr>
        <w:trPr>
          <w:cantSplit/>
          <w:trHeight w:val="360" w:hRule="auto"/>
        </w:trPr>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vertAlign w:val="superscript"/>
                <w:sz w:val="22"/>
                <w:szCs w:val="22"/>
                <w:color w:val="000000"/>
              </w:rPr>
              <w:t xml:space="preserve"/>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c>
          <w:tcPr>
            <w:tcBorders>
              <w:top w:val="single" w:sz="12" w:space="0" w:color="EC8C35"/>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sz w:val="22"/>
                <w:szCs w:val="22"/>
                <w:color w:val="000000"/>
              </w:rPr>
              <w:t xml:space="preserve">-</w:t>
            </w:r>
          </w:p>
        </w:tc>
      </w:tr>
      <w:tr>
        <w:trPr>
          <w:cantSplit/>
          <w:trHeight w:val="360" w:hRule="auto"/>
        </w:trPr>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Average</w:t>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c>
          <w:tcPr>
            <w:tcBorders>
              <w:top w:val="single" w:sz="12" w:space="0" w:color="80808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Lato" w:hAnsi="Lato" w:eastAsia="Lato" w:cs="Lato"/>
                <w:b/>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br/>
              <w:t xml:space="preserve">Note: - means no deficit was found; an empty cell means no data was provided. The Average values are the means across all areas where a deficit was found.</w:t>
            </w:r>
          </w:p>
        </w:tc>
      </w:tr>
    </w:tbl>
    <w:p>
      <w:r>
        <w:br w:type="page"/>
      </w: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a:srcRect/>
                    <a:stretch>
                      <a:fillRect/>
                    </a:stretch>
                  </pic:blipFill>
                  <pic:spPr bwMode="auto">
                    <a:xfrm>
                      <a:off x="0" y="0"/>
                      <a:ext cx="9525" cy="9525"/>
                    </a:xfrm>
                    <a:prstGeom prst="rect">
                      <a:avLst/>
                    </a:prstGeom>
                    <a:noFill/>
                  </pic:spPr>
                </pic:pic>
              </a:graphicData>
            </a:graphic>
          </wp:inline>
        </w:drawing>
      </w:r>
    </w:p>
    <w:p>
      <w:pPr>
        <w:pStyle w:val="FirstParagraph"/>
      </w:pPr>
      <w:r>
        <w:br w:type="column"/>
      </w:r>
      <w:r>
        <w:rPr>
          <w:rFonts w:ascii="Arial" w:hAnsi="Arial" w:eastAsia="Arial" w:cs="Arial"/>
          <w:i w:val="false"/>
          <w:b w:val="true"/>
          <w:u w:val="none"/>
          <w:sz w:val="28"/>
          <w:szCs w:val="28"/>
          <w:color w:val="000000"/>
        </w:rPr>
        <w:t xml:space="preserve">pH</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Organic Matter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Potassium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Phosphorus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Calcium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Magnesium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Sodium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0"/>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Sulfur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1"/>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Iron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2"/>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Manganese </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pPr>
        <w:sectPr>
          <w:type w:val="continuous"/>
          <w:cols/>
          <w:pgSz xmlns:w="http://schemas.openxmlformats.org/wordprocessingml/2006/main" w:h="15840" w:w="12240" w:orient="portrait"/>
          <w:pgMar xmlns:w="http://schemas.openxmlformats.org/wordprocessingml/2006/main" w:header="720" w:bottom="1440" w:top="1440" w:right="1440" w:left="1440" w:footer="720" w:gutter="0"/>
        </w:sectPr>
      </w:pPr>
    </w:p>
    <w:p>
      <w:pPr>
        <w:jc w:val="center"/>
        <w:pStyle w:val="Figure"/>
      </w:pPr>
      <w:r>
        <w:rPr/>
        <w:drawing xmlns:r="http://schemas.openxmlformats.org/officeDocument/2006/relationships">
          <wp:inline distT="0" distB="0" distL="0" distR="0">
            <wp:extent cx="685800" cy="6858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3"/>
                    <a:srcRect/>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Arial" w:hAnsi="Arial" w:eastAsia="Arial" w:cs="Arial"/>
          <w:i w:val="false"/>
          <w:b w:val="true"/>
          <w:u w:val="none"/>
          <w:sz w:val="28"/>
          <w:szCs w:val="28"/>
          <w:color w:val="000000"/>
        </w:rPr>
        <w:t xml:space="preserve">Micronutrients</w:t>
      </w:r>
    </w:p>
    <w:p>
      <w:pPr>
        <w:pStyle w:val="BodyText"/>
      </w:pPr>
      <w:r>
        <w:t xml:space="preserve">Lorem ipsum dolor sit amet, consectetur adipiscing elit. Nulla eu pulvinar arcu,</w:t>
      </w:r>
      <w:r>
        <w:t xml:space="preserve"> </w:t>
      </w:r>
      <w:r>
        <w:t xml:space="preserve">quis aliquam dui. In at cursus ante.</w:t>
      </w:r>
    </w:p>
    <w:p>
      <w:pPr>
        <w:sectPr>
          <w:type w:val="continuous"/>
          <w:cols w:num="2" w:sep="0" w:space="360" w:equalWidth="0">
            <w:col w:w="1440" w:space="360"/>
            <w:col w:w="7920"/>
          </w:cols>
          <w:pgSz xmlns:w="http://schemas.openxmlformats.org/wordprocessingml/2006/main" w:h="15840" w:w="12240" w:orient="portrait"/>
          <w:pgMar xmlns:w="http://schemas.openxmlformats.org/wordprocessingml/2006/main" w:header="720" w:bottom="1440" w:top="1440" w:right="1440" w:left="1440" w:footer="720" w:gutter="0"/>
        </w:sectPr>
      </w:pP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4"/>
                    <a:srcRect/>
                    <a:stretch>
                      <a:fillRect/>
                    </a:stretch>
                  </pic:blipFill>
                  <pic:spPr bwMode="auto">
                    <a:xfrm>
                      <a:off x="0" y="0"/>
                      <a:ext cx="101600" cy="12700"/>
                    </a:xfrm>
                    <a:prstGeom prst="rect">
                      <a:avLst/>
                    </a:prstGeom>
                    <a:noFill/>
                  </pic:spPr>
                </pic:pic>
              </a:graphicData>
            </a:graphic>
          </wp:inline>
        </w:drawing>
      </w:r>
    </w:p>
    <w:p>
      <w:pPr>
        <w:pStyle w:val="BodyText"/>
      </w:pPr>
      <w:r>
        <w:drawing>
          <wp:inline>
            <wp:extent cx="5963478" cy="6419149"/>
            <wp:effectExtent b="0" l="0" r="0" t="0"/>
            <wp:docPr descr="" title="" id="41" name="Picture"/>
            <a:graphic>
              <a:graphicData uri="http://schemas.openxmlformats.org/drawingml/2006/picture">
                <pic:pic>
                  <pic:nvPicPr>
                    <pic:cNvPr descr="figures/trendlines/trend_plot_Soil_GREEN.png" id="42" name="Picture"/>
                    <pic:cNvPicPr>
                      <a:picLocks noChangeArrowheads="1" noChangeAspect="1"/>
                    </pic:cNvPicPr>
                  </pic:nvPicPr>
                  <pic:blipFill>
                    <a:blip r:embed="rId24"/>
                    <a:stretch>
                      <a:fillRect/>
                    </a:stretch>
                  </pic:blipFill>
                  <pic:spPr bwMode="auto">
                    <a:xfrm>
                      <a:off x="0" y="0"/>
                      <a:ext cx="5963478" cy="6419149"/>
                    </a:xfrm>
                    <a:prstGeom prst="rect">
                      <a:avLst/>
                    </a:prstGeom>
                    <a:noFill/>
                    <a:ln w="9525">
                      <a:noFill/>
                      <a:headEnd/>
                      <a:tailEnd/>
                    </a:ln>
                  </pic:spPr>
                </pic:pic>
              </a:graphicData>
            </a:graphic>
          </wp:inline>
        </w:drawing>
      </w:r>
    </w:p>
    <w:p>
      <w:r>
        <w:br w:type="pag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drawing xmlns:r="http://schemas.openxmlformats.org/officeDocument/2006/relationships">
          <wp:inline distT="0" distB="0" distL="0" distR="0">
            <wp:extent cx="7315200" cy="9144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5"/>
                    <a:srcRect/>
                    <a:stretch>
                      <a:fillRect/>
                    </a:stretch>
                  </pic:blipFill>
                  <pic:spPr bwMode="auto">
                    <a:xfrm>
                      <a:off x="0" y="0"/>
                      <a:ext cx="101600" cy="12700"/>
                    </a:xfrm>
                    <a:prstGeom prst="rect">
                      <a:avLst/>
                    </a:prstGeom>
                    <a:noFill/>
                  </pic:spPr>
                </pic:pic>
              </a:graphicData>
            </a:graphic>
          </wp:inline>
        </w:drawing>
      </w:r>
    </w:p>
    <w:p>
      <w:pPr>
        <w:pStyle w:val="BodyText"/>
      </w:pPr>
      <w:r>
        <w:t xml:space="preserve">These measurements are neither good nor bad. Information such as fertilizer applied, cultural practices, sand applied, verti-cutting, aerification, etc. can be used to see how these practices have changed the OM% by depth. Ideally, once a desired OM% has been identified based on playability and turf performance, fertility and cultural practices can be adjusted to maintain the desired OM%.</w:t>
      </w:r>
    </w:p>
    <w:p>
      <w:pPr>
        <w:pStyle w:val="BodyText"/>
      </w:pPr>
      <w:r>
        <w:t xml:space="preserve">The S325 test package includes the entire sample submitted. This includes leaves, stems, and roots. This differs from the standard soil test which filters out most of the components. This is the reason why the percentages appear higher than that on a standard soil test.</w:t>
      </w:r>
    </w:p>
    <w:p>
      <w:pPr>
        <w:pStyle w:val="BodyText"/>
      </w:pPr>
      <w:r>
        <w:drawing>
          <wp:inline>
            <wp:extent cx="5963478" cy="3666774"/>
            <wp:effectExtent b="0" l="0" r="0" t="0"/>
            <wp:docPr descr="" title="" id="45" name="Picture"/>
            <a:graphic>
              <a:graphicData uri="http://schemas.openxmlformats.org/drawingml/2006/picture">
                <pic:pic>
                  <pic:nvPicPr>
                    <pic:cNvPr descr="figures/organic_matter/om_plot_GREEN.png" id="46" name="Picture"/>
                    <pic:cNvPicPr>
                      <a:picLocks noChangeArrowheads="1" noChangeAspect="1"/>
                    </pic:cNvPicPr>
                  </pic:nvPicPr>
                  <pic:blipFill>
                    <a:blip r:embed="rId25"/>
                    <a:stretch>
                      <a:fillRect/>
                    </a:stretch>
                  </pic:blipFill>
                  <pic:spPr bwMode="auto">
                    <a:xfrm>
                      <a:off x="0" y="0"/>
                      <a:ext cx="5963478" cy="3666774"/>
                    </a:xfrm>
                    <a:prstGeom prst="rect">
                      <a:avLst/>
                    </a:prstGeom>
                    <a:noFill/>
                    <a:ln w="9525">
                      <a:noFill/>
                      <a:headEnd/>
                      <a:tailEnd/>
                    </a:ln>
                  </pic:spPr>
                </pic:pic>
              </a:graphicData>
            </a:graphic>
          </wp:inline>
        </w:drawing>
      </w:r>
    </w:p>
    <w:bookmarkEnd w:id="26"/>
    <w:sectPr xmlns:w="http://schemas.openxmlformats.org/wordprocessingml/2006/main">
      <w:pgMar w:header="720" w:bottom="1440" w:top="1440"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5B2820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5E36DB6C"/>
    <w:lvl w:ilvl="0">
      <w:start w:val="1"/>
      <w:numFmt w:val="decimal"/>
      <w:lvlText w:val="%1."/>
      <w:lvlJc w:val="left"/>
      <w:pPr>
        <w:tabs>
          <w:tab w:val="num" w:pos="1800"/>
        </w:tabs>
        <w:ind w:left="1800" w:hanging="360"/>
      </w:pPr>
    </w:lvl>
  </w:abstractNum>
  <w:abstractNum w:abstractNumId="2">
    <w:nsid w:val="FFFFFF7D"/>
    <w:multiLevelType w:val="singleLevel"/>
    <w:tmpl w:val="F46216C8"/>
    <w:lvl w:ilvl="0">
      <w:start w:val="1"/>
      <w:numFmt w:val="decimal"/>
      <w:lvlText w:val="%1."/>
      <w:lvlJc w:val="left"/>
      <w:pPr>
        <w:tabs>
          <w:tab w:val="num" w:pos="1440"/>
        </w:tabs>
        <w:ind w:left="1440" w:hanging="360"/>
      </w:pPr>
    </w:lvl>
  </w:abstractNum>
  <w:abstractNum w:abstractNumId="3">
    <w:nsid w:val="FFFFFF7E"/>
    <w:multiLevelType w:val="singleLevel"/>
    <w:tmpl w:val="B7C6AD9E"/>
    <w:lvl w:ilvl="0">
      <w:start w:val="1"/>
      <w:numFmt w:val="decimal"/>
      <w:lvlText w:val="%1."/>
      <w:lvlJc w:val="left"/>
      <w:pPr>
        <w:tabs>
          <w:tab w:val="num" w:pos="1080"/>
        </w:tabs>
        <w:ind w:left="1080" w:hanging="360"/>
      </w:pPr>
    </w:lvl>
  </w:abstractNum>
  <w:abstractNum w:abstractNumId="4">
    <w:nsid w:val="FFFFFF7F"/>
    <w:multiLevelType w:val="singleLevel"/>
    <w:tmpl w:val="05CCD2E2"/>
    <w:lvl w:ilvl="0">
      <w:start w:val="1"/>
      <w:numFmt w:val="decimal"/>
      <w:lvlText w:val="%1."/>
      <w:lvlJc w:val="left"/>
      <w:pPr>
        <w:tabs>
          <w:tab w:val="num" w:pos="720"/>
        </w:tabs>
        <w:ind w:left="720" w:hanging="360"/>
      </w:pPr>
    </w:lvl>
  </w:abstractNum>
  <w:abstractNum w:abstractNumId="5">
    <w:nsid w:val="FFFFFF80"/>
    <w:multiLevelType w:val="singleLevel"/>
    <w:tmpl w:val="0AC6B1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FA4F49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E085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930CE7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0CCE1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9FE758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DFC2FA7"/>
    <w:multiLevelType w:val="hybridMultilevel"/>
    <w:tmpl w:val="77B00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1AE401"/>
    <w:multiLevelType w:val="multilevel"/>
    <w:tmpl w:val="43E8A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nsid w:val="71315DCA"/>
    <w:multiLevelType w:val="multilevel"/>
    <w:tmpl w:val="5618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nsid w:val="7A960D59"/>
    <w:multiLevelType w:val="hybridMultilevel"/>
    <w:tmpl w:val="8BEC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3"/>
  </w:num>
  <w:num w:numId="7">
    <w:abstractNumId w:val="1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0"/>
  </w:num>
  <w:num w:numId="34">
    <w:abstractNumId w:val="13"/>
  </w:num>
  <w:num w:numId="35">
    <w:abstractNumId w:val="13"/>
  </w:num>
  <w:num w:numId="36">
    <w:abstractNumId w:val="13"/>
  </w:num>
  <w:num w:numId="37">
    <w:abstractNumId w:val="13"/>
  </w:num>
  <w:num w:numId="38">
    <w:abstractNumId w:val="13"/>
  </w:num>
  <w:num w:numId="39">
    <w:abstractNumId w:val="11"/>
  </w:num>
  <w:num w:numId="4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rsid w:val="00671BA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71BA2"/>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71BA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71BA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84108"/>
  </w:style>
  <w:style w:type="paragraph" w:styleId="BalloonText">
    <w:name w:val="Balloon Text"/>
    <w:basedOn w:val="Normal"/>
    <w:link w:val="BalloonTextChar"/>
    <w:semiHidden/>
    <w:unhideWhenUsed/>
    <w:rsid w:val="002152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152DB"/>
    <w:rPr>
      <w:rFonts w:ascii="Tahoma" w:hAnsi="Tahoma" w:cs="Tahoma"/>
      <w:sz w:val="16"/>
      <w:szCs w:val="16"/>
    </w:rPr>
  </w:style>
  <w:style w:type="paragraph" w:styleId="ListBullet">
    <w:name w:val="List Bullet"/>
    <w:basedOn w:val="Normal"/>
    <w:unhideWhenUsed/>
    <w:rsid w:val="00C15EE3"/>
    <w:pPr>
      <w:numPr>
        <w:numId w:val="8"/>
      </w:numPr>
      <w:contextualSpacing/>
    </w:pPr>
  </w:style>
  <w:style w:type="paragraph" w:styleId="ListNumber">
    <w:name w:val="List Number"/>
    <w:basedOn w:val="Normal"/>
    <w:unhideWhenUsed/>
    <w:rsid w:val="00C15EE3"/>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25" Type="http://schemas.openxmlformats.org/officeDocument/2006/relationships/image" Target="media/rId25.png"/>
<Relationship Id="rId24" Type="http://schemas.openxmlformats.org/officeDocument/2006/relationships/image" Target="media/rId24.png"/>
<Relationship Id="rId26" Type="http://schemas.openxmlformats.org/officeDocument/2006/relationships/image" Target="media/file38042e0f7d61.png"/>
<Relationship Id="rId27" Type="http://schemas.openxmlformats.org/officeDocument/2006/relationships/image" Target="media/file380462ea76f3.png"/>
<Relationship Id="rId28" Type="http://schemas.openxmlformats.org/officeDocument/2006/relationships/image" Target="media/file3804b94ce.png"/>
<Relationship Id="rId29" Type="http://schemas.openxmlformats.org/officeDocument/2006/relationships/image" Target="media/file380426a06f61.png"/>
<Relationship Id="rId30" Type="http://schemas.openxmlformats.org/officeDocument/2006/relationships/image" Target="media/file38045ce337ec.png"/>
<Relationship Id="rId31" Type="http://schemas.openxmlformats.org/officeDocument/2006/relationships/image" Target="media/file38047e122999.png"/>
<Relationship Id="rId32" Type="http://schemas.openxmlformats.org/officeDocument/2006/relationships/image" Target="media/file38046a724888.png"/>
<Relationship Id="rId33" Type="http://schemas.openxmlformats.org/officeDocument/2006/relationships/image" Target="media/file38045fda3602.png"/>
<Relationship Id="rId34" Type="http://schemas.openxmlformats.org/officeDocument/2006/relationships/image" Target="media/file380461651b69.png"/>
<Relationship Id="rId35" Type="http://schemas.openxmlformats.org/officeDocument/2006/relationships/image" Target="media/file3804359879ac.png"/>
<Relationship Id="rId36" Type="http://schemas.openxmlformats.org/officeDocument/2006/relationships/image" Target="media/file380476fc693e.png"/>
<Relationship Id="rId37" Type="http://schemas.openxmlformats.org/officeDocument/2006/relationships/image" Target="media/file3804523776e3.png"/>
<Relationship Id="rId38" Type="http://schemas.openxmlformats.org/officeDocument/2006/relationships/image" Target="media/file380426206bd4.png"/>
<Relationship Id="rId39" Type="http://schemas.openxmlformats.org/officeDocument/2006/relationships/image" Target="media/file38041d72404.png"/>
<Relationship Id="rId40" Type="http://schemas.openxmlformats.org/officeDocument/2006/relationships/image" Target="media/file380456ff6b8c.png"/>
<Relationship Id="rId41" Type="http://schemas.openxmlformats.org/officeDocument/2006/relationships/image" Target="media/file38041896648f.png"/>
<Relationship Id="rId42" Type="http://schemas.openxmlformats.org/officeDocument/2006/relationships/image" Target="media/file380429f7410d.png"/>
<Relationship Id="rId43" Type="http://schemas.openxmlformats.org/officeDocument/2006/relationships/image" Target="media/file38042089787e.png"/>
<Relationship Id="rId44" Type="http://schemas.openxmlformats.org/officeDocument/2006/relationships/image" Target="media/file380469b51f36.png"/>
<Relationship Id="rId45" Type="http://schemas.openxmlformats.org/officeDocument/2006/relationships/image" Target="media/file3804110b75d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2021-11-17T16:14:32Z</dcterms:created>
  <dcterms:modified xsi:type="dcterms:W3CDTF">2021-11-17T16:14:34Z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