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9.png" ContentType="image/png"/>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2322286" cy="685800"/>
            <wp:docPr id="1" name="" descr="TORV Sustainable Agronomics"/>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0"/>
                    <a:stretch>
                      <a:fillRect/>
                    </a:stretch>
                  </pic:blipFill>
                  <pic:spPr bwMode="auto">
                    <a:xfrm>
                      <a:off x="0" y="0"/>
                      <a:ext cx="32254" cy="9525"/>
                    </a:xfrm>
                    <a:prstGeom prst="rect">
                      <a:avLst/>
                    </a:prstGeom>
                    <a:noFill/>
                  </pic:spPr>
                </pic:pic>
              </a:graphicData>
            </a:graphic>
          </wp:inline>
        </w:drawing>
      </w:r>
    </w:p>
    <w:p>
      <w:pPr>
        <w:pStyle w:val="FirstParagraph"/>
      </w:pPr>
      <w:r>
        <w:t xml:space="preserve">November 22, 2023</w:t>
      </w:r>
    </w:p>
    <w:p>
      <w:pPr>
        <w:pStyle w:val="BodyText"/>
      </w:pPr>
      <w:r>
        <w:t xml:space="preserve">Company</w:t>
      </w:r>
      <w:r>
        <w:br/>
      </w:r>
      <w:r>
        <w:t xml:space="preserve">Address Line 1</w:t>
      </w:r>
      <w:r>
        <w:br/>
      </w:r>
      <w:r>
        <w:t xml:space="preserve">Address Line 2</w:t>
      </w:r>
      <w:r>
        <w:br/>
      </w:r>
      <w:r>
        <w:t xml:space="preserve">City, State, Zip</w:t>
      </w:r>
    </w:p>
    <w:p>
      <w:pPr>
        <w:pStyle w:val="BodyText"/>
      </w:pPr>
      <w:r>
        <w:t xml:space="preserve">Cover Letter</w:t>
      </w:r>
    </w:p>
    <w:p>
      <w:pPr>
        <w:pStyle w:val="BodyText"/>
      </w:pPr>
      <w:r>
        <w:t xml:space="preserve">Lorem ipsum dolor sit amet, consectetur adipiscing elit. Maecenas facilisis sollicitudin magna at condimentum. Vestibulum at aliquam lorem. Aliquam ut nibh pretium, volutpat metus eu, fermentum velit. Cras dapibus placerat viverra. Etiam faucibus lectus ac neque scelerisque fringilla. Nunc mi velit, tristique ac placerat gravida, porttitor at ante. Phasellus vehicula.</w:t>
      </w:r>
    </w:p>
    <w:p>
      <w:pPr>
        <w:pStyle w:val="BodyText"/>
      </w:pPr>
      <w:r>
        <w:t xml:space="preserve">Best Regards,</w:t>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431235" cy="228600"/>
            <wp:docPr id="3" name="" descr="Eric Foerster's Signatur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1"/>
                    <a:stretch>
                      <a:fillRect/>
                    </a:stretch>
                  </pic:blipFill>
                  <pic:spPr bwMode="auto">
                    <a:xfrm>
                      <a:off x="0" y="0"/>
                      <a:ext cx="19878" cy="3175"/>
                    </a:xfrm>
                    <a:prstGeom prst="rect">
                      <a:avLst/>
                    </a:prstGeom>
                    <a:noFill/>
                  </pic:spPr>
                </pic:pic>
              </a:graphicData>
            </a:graphic>
          </wp:inline>
        </w:drawing>
      </w:r>
    </w:p>
    <w:p>
      <w:pPr>
        <w:pStyle w:val="BodyText"/>
      </w:pPr>
      <w:r>
        <w:t xml:space="preserve">Eric Foerster CGCS, MG</w:t>
      </w:r>
      <w:r>
        <w:br/>
      </w:r>
      <w:r>
        <w:t xml:space="preserve">TORV, LLC</w:t>
      </w:r>
      <w:r>
        <w:br/>
      </w:r>
      <w:r>
        <w:t xml:space="preserve">970.409.9874</w:t>
      </w:r>
      <w:r>
        <w:br/>
      </w:r>
      <w:r>
        <w:t xml:space="preserve">eric@torv.me</w:t>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2"/>
                    <a:stretch>
                      <a:fillRect/>
                    </a:stretch>
                  </pic:blipFill>
                  <pic:spPr bwMode="auto">
                    <a:xfrm>
                      <a:off x="0" y="0"/>
                      <a:ext cx="101600" cy="12700"/>
                    </a:xfrm>
                    <a:prstGeom prst="rect">
                      <a:avLst/>
                    </a:prstGeom>
                    <a:noFill/>
                  </pic:spPr>
                </pic:pic>
              </a:graphicData>
            </a:graphic>
          </wp:inline>
        </w:drawing>
      </w:r>
    </w:p>
    <w:bookmarkStart w:id="23" w:name="fairway"/>
    <w:p>
      <w:pPr>
        <w:pStyle w:val="Heading2"/>
      </w:pPr>
      <w:r>
        <w:t xml:space="preserve">Fairway</w:t>
      </w:r>
    </w:p>
    <w:p>
      <w:pPr>
        <w:numPr>
          <w:ilvl w:val="0"/>
          <w:numId w:val="1001"/>
        </w:numPr>
      </w:pPr>
      <w:r>
        <w:t xml:space="preserve">The average total available Nitrogen is 17.6 ppm. This is above the optimal range of 5 ppm - 10 ppm for soil nitrogen. Excessive soil nitrogen may result in unwanted turfgrass growth and increased organic matter.</w:t>
      </w:r>
    </w:p>
    <w:p>
      <w:pPr>
        <w:numPr>
          <w:ilvl w:val="0"/>
          <w:numId w:val="1001"/>
        </w:numPr>
      </w:pPr>
      <w:r>
        <w:t xml:space="preserve">No deficits were noted in the values tied to MLSN values. [TODO: Add custom comment.]</w:t>
      </w:r>
    </w:p>
    <w:p>
      <w:pPr>
        <w:numPr>
          <w:ilvl w:val="0"/>
          <w:numId w:val="1001"/>
        </w:numPr>
      </w:pPr>
      <w:r>
        <w:t xml:space="preserve">The average Organic Matter (%) measurement is above 4.5%. [TODO: Add custom comment].</w:t>
      </w:r>
    </w:p>
    <w:p>
      <w:pPr>
        <w:numPr>
          <w:ilvl w:val="0"/>
          <w:numId w:val="1001"/>
        </w:numPr>
      </w:pPr>
      <w:r>
        <w:t xml:space="preserve">The average Sodium is 210 ppm. This is above 110 ppm, the beginning threshold for negative effects of sodium on turfgrass. Excessive sodium in the soil destroys soil structure and may increase osmotic stress to the plant.</w:t>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3"/>
                    <a:stretch>
                      <a:fillRect/>
                    </a:stretch>
                  </pic:blipFill>
                  <pic:spPr bwMode="auto">
                    <a:xfrm>
                      <a:off x="0" y="0"/>
                      <a:ext cx="101600" cy="12700"/>
                    </a:xfrm>
                    <a:prstGeom prst="rect">
                      <a:avLst/>
                    </a:prstGeom>
                    <a:noFill/>
                  </pic:spPr>
                </pic:pic>
              </a:graphicData>
            </a:graphic>
          </wp:inline>
        </w:drawing>
      </w:r>
    </w:p>
    <w:p>
      <w:pPr>
        <w:pStyle w:val="FirstParagraph"/>
      </w:pPr>
      <w:r>
        <w:t xml:space="preserve">The temperature data is provided by NOAA using 30-year climate normals and is site-specific to your location. Pace Turf, LLC (Gelernter and Stowell, 2005) developed the growth potential model to explain the myriad of ways in which weather impacts turf growth. The model considers turf growth to be good when the GP is between 50% and 100% (the best possible growth occurs at a GP of 100%). However, when weather conditions are either too hot or too cold for optimal turf growth, the GP falls below 50%, and turf becomes progressively more stressed. When the GP falls to 10% or lower, growth is extremely limited. Appearing below is your model specific to Wellshire Golf Club.</w:t>
      </w:r>
    </w:p>
    <w:p>
      <w:pPr>
        <w:pStyle w:val="BodyText"/>
      </w:pPr>
      <w:r>
        <w:drawing>
          <wp:inline>
            <wp:extent cx="5943600" cy="3654551"/>
            <wp:effectExtent b="0" l="0" r="0" t="0"/>
            <wp:docPr descr="" title="" id="9" name="Picture"/>
            <a:graphic>
              <a:graphicData uri="http://schemas.openxmlformats.org/drawingml/2006/picture">
                <pic:pic>
                  <pic:nvPicPr>
                    <pic:cNvPr descr="/Users/ericfoerster/torv-reports/tests/test-reports/Wellshire_202111/figures/monthly_growth_potential_plot.png" id="10" name="Picture"/>
                    <pic:cNvPicPr>
                      <a:picLocks noChangeArrowheads="1" noChangeAspect="1"/>
                    </pic:cNvPicPr>
                  </pic:nvPicPr>
                  <pic:blipFill>
                    <a:blip r:embed="rId20"/>
                    <a:stretch>
                      <a:fillRect/>
                    </a:stretch>
                  </pic:blipFill>
                  <pic:spPr bwMode="auto">
                    <a:xfrm>
                      <a:off x="0" y="0"/>
                      <a:ext cx="5943600" cy="3654551"/>
                    </a:xfrm>
                    <a:prstGeom prst="rect">
                      <a:avLst/>
                    </a:prstGeom>
                    <a:noFill/>
                    <a:ln w="9525">
                      <a:noFill/>
                      <a:headEnd/>
                      <a:tailEnd/>
                    </a:ln>
                  </pic:spPr>
                </pic:pic>
              </a:graphicData>
            </a:graphic>
          </wp:inline>
        </w:drawing>
      </w: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34"/>
                    <a:stretch>
                      <a:fillRect/>
                    </a:stretch>
                  </pic:blipFill>
                  <pic:spPr bwMode="auto">
                    <a:xfrm>
                      <a:off x="0" y="0"/>
                      <a:ext cx="101600" cy="12700"/>
                    </a:xfrm>
                    <a:prstGeom prst="rect">
                      <a:avLst/>
                    </a:prstGeom>
                    <a:noFill/>
                  </pic:spPr>
                </pic:pic>
              </a:graphicData>
            </a:graphic>
          </wp:inline>
        </w:drawing>
      </w:r>
    </w:p>
    <w:bookmarkEnd w:id="23"/>
    <w:bookmarkStart w:id="27" w:name="measurement-results-and-mlsn-values"/>
    <w:p>
      <w:pPr>
        <w:pStyle w:val="Heading2"/>
      </w:pPr>
      <w:r>
        <w:t xml:space="preserve">Measurement results and MLSN values</w:t>
      </w:r>
    </w:p>
    <w:p>
      <w:pPr>
        <w:pStyle w:val="FirstParagraph"/>
      </w:pPr>
      <w:r>
        <w:t xml:space="preserve">The following graph shows how the samples taken from each FAIRWAY compare to the calculated MLSN values and required elemental inputs based on the provided nitrogen input and the Turf Growth Potential Model.</w:t>
      </w:r>
    </w:p>
    <w:p>
      <w:pPr>
        <w:numPr>
          <w:ilvl w:val="0"/>
          <w:numId w:val="1002"/>
        </w:numPr>
        <w:pStyle w:val="Compact"/>
      </w:pPr>
      <w:r>
        <w:rPr>
          <w:bCs/>
          <w:b/>
        </w:rPr>
        <w:t xml:space="preserve">Red</w:t>
      </w:r>
      <w:r>
        <w:t xml:space="preserve"> </w:t>
      </w:r>
      <w:r>
        <w:t xml:space="preserve">dots highlight samples where a deficit was found</w:t>
      </w:r>
    </w:p>
    <w:p>
      <w:pPr>
        <w:numPr>
          <w:ilvl w:val="0"/>
          <w:numId w:val="1002"/>
        </w:numPr>
        <w:pStyle w:val="Compact"/>
      </w:pPr>
      <w:r>
        <w:rPr>
          <w:bCs/>
          <w:b/>
        </w:rPr>
        <w:t xml:space="preserve">Orange</w:t>
      </w:r>
      <w:r>
        <w:t xml:space="preserve"> </w:t>
      </w:r>
      <w:r>
        <w:t xml:space="preserve">dots represent samples which are within 1% of the desired MLSN value</w:t>
      </w:r>
    </w:p>
    <w:p>
      <w:pPr>
        <w:numPr>
          <w:ilvl w:val="0"/>
          <w:numId w:val="1002"/>
        </w:numPr>
        <w:pStyle w:val="Compact"/>
      </w:pPr>
      <w:r>
        <w:rPr>
          <w:bCs/>
          <w:b/>
        </w:rPr>
        <w:t xml:space="preserve">Green</w:t>
      </w:r>
      <w:r>
        <w:t xml:space="preserve"> </w:t>
      </w:r>
      <w:r>
        <w:t xml:space="preserve">dots indicate that the samples met the MLSN requirements</w:t>
      </w:r>
    </w:p>
    <w:p>
      <w:pPr>
        <w:pStyle w:val="FirstParagraph"/>
      </w:pPr>
    </w:p>
    <w:p>
      <w:pPr>
        <w:pStyle w:val="BodyText"/>
      </w:pPr>
      <w:r>
        <w:drawing>
          <wp:inline>
            <wp:extent cx="5943600" cy="5029200"/>
            <wp:effectExtent b="0" l="0" r="0" t="0"/>
            <wp:docPr descr="" title="" id="13" name="Picture"/>
            <a:graphic>
              <a:graphicData uri="http://schemas.openxmlformats.org/drawingml/2006/picture">
                <pic:pic>
                  <pic:nvPicPr>
                    <pic:cNvPr descr="/Users/ericfoerster/torv-reports/tests/test-reports/Wellshire_202111/figures/soil_testing/MLSN_deficits_FAIRWAY_plot.png" id="14" name="Picture"/>
                    <pic:cNvPicPr>
                      <a:picLocks noChangeArrowheads="1" noChangeAspect="1"/>
                    </pic:cNvPicPr>
                  </pic:nvPicPr>
                  <pic:blipFill>
                    <a:blip r:embed="rId24"/>
                    <a:stretch>
                      <a:fillRect/>
                    </a:stretch>
                  </pic:blipFill>
                  <pic:spPr bwMode="auto">
                    <a:xfrm>
                      <a:off x="0" y="0"/>
                      <a:ext cx="5943600" cy="5029200"/>
                    </a:xfrm>
                    <a:prstGeom prst="rect">
                      <a:avLst/>
                    </a:prstGeom>
                    <a:noFill/>
                    <a:ln w="9525">
                      <a:noFill/>
                      <a:headEnd/>
                      <a:tailEnd/>
                    </a:ln>
                  </pic:spPr>
                </pic:pic>
              </a:graphicData>
            </a:graphic>
          </wp:inline>
        </w:drawing>
      </w:r>
    </w:p>
    <w:bookmarkEnd w:id="27"/>
    <w:bookmarkStart w:id="28" w:name="X432303563c4994b154731f80ba9594afa4665fa"/>
    <w:p>
      <w:pPr>
        <w:pStyle w:val="Heading2"/>
      </w:pPr>
      <w:r>
        <w:t xml:space="preserve">Required element per area (lbs. per 1000 sq.ft.)</w:t>
      </w:r>
    </w:p>
    <w:p>
      <w:pPr>
        <w:pStyle w:val="FirstParagraph"/>
      </w:pPr>
      <w:r>
        <w:t xml:space="preserve">This table specifies the amount of fertilizer required to remedy the deficits highlighted by the analysis.</w:t>
      </w:r>
    </w:p>
    <w:p>
      <w:pPr>
        <w:pStyle w:val="BodyText"/>
      </w:pPr>
    </w:p>
    <w:tbl xmlns:w14="http://schemas.microsoft.com/office/word/2010/wordml">
      <w:tblPr>
        <w:tblLayout w:type="fixed"/>
        <w:jc w:val="center"/>
        <w:tblLook w:firstRow="1" w:lastRow="0" w:firstColumn="0" w:lastColumn="0" w:noHBand="0" w:noVBand="1"/>
      </w:tblPr>
      <w:tblGrid>
        <w:gridCol w:w="1282"/>
        <w:gridCol w:w="1282"/>
        <w:gridCol w:w="1282"/>
        <w:gridCol w:w="1282"/>
        <w:gridCol w:w="1282"/>
        <w:gridCol w:w="1282"/>
        <w:gridCol w:w="1282"/>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Area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K</w:t>
            </w:r>
            <w:r>
              <w:rPr>
                <w:rFonts w:ascii="Lato" w:hAnsi="Lato" w:eastAsia="Lato" w:cs="Lato"/>
                <w:i w:val="false"/>
                <w:b w:val="true"/>
                <w:u w:val="none"/>
                <w:vertAlign w:val="subscript"/>
                <w:sz w:val="22"/>
                <w:szCs w:val="22"/>
                <w:color w:val="EC8C35"/>
              </w:rPr>
              <w:t xml:space="preserve">2</w:t>
            </w:r>
            <w:r>
              <w:rPr>
                <w:rFonts w:ascii="Lato" w:hAnsi="Lato" w:eastAsia="Lato" w:cs="Lato"/>
                <w:i w:val="false"/>
                <w:b w:val="true"/>
                <w:u w:val="none"/>
                <w:sz w:val="22"/>
                <w:szCs w:val="22"/>
                <w:color w:val="EC8C35"/>
              </w:rPr>
              <w:t xml:space="preserve">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P</w:t>
            </w:r>
            <w:r>
              <w:rPr>
                <w:rFonts w:ascii="Lato" w:hAnsi="Lato" w:eastAsia="Lato" w:cs="Lato"/>
                <w:i w:val="false"/>
                <w:b w:val="true"/>
                <w:u w:val="none"/>
                <w:vertAlign w:val="subscript"/>
                <w:sz w:val="22"/>
                <w:szCs w:val="22"/>
                <w:color w:val="EC8C35"/>
              </w:rPr>
              <w:t xml:space="preserve">2</w:t>
            </w:r>
            <w:r>
              <w:rPr>
                <w:rFonts w:ascii="Lato" w:hAnsi="Lato" w:eastAsia="Lato" w:cs="Lato"/>
                <w:i w:val="false"/>
                <w:b w:val="true"/>
                <w:u w:val="none"/>
                <w:sz w:val="22"/>
                <w:szCs w:val="22"/>
                <w:color w:val="EC8C35"/>
              </w:rPr>
              <w:t xml:space="preserve">O</w:t>
            </w:r>
            <w:r>
              <w:rPr>
                <w:rFonts w:ascii="Lato" w:hAnsi="Lato" w:eastAsia="Lato" w:cs="Lato"/>
                <w:i w:val="false"/>
                <w:b w:val="true"/>
                <w:u w:val="none"/>
                <w:vertAlign w:val="subscript"/>
                <w:sz w:val="22"/>
                <w:szCs w:val="22"/>
                <w:color w:val="EC8C35"/>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EC8C35"/>
              </w:rPr>
              <w:t xml:space="preserve">Mn</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true"/>
                <w:u w:val="none"/>
                <w:sz w:val="22"/>
                <w:szCs w:val="22"/>
                <w:color w:val="000000"/>
              </w:rPr>
              <w:t xml:space="preserve"/>
            </w:r>
          </w:p>
        </w:tc>
      </w:tr>
      <w:tr>
        <w:trPr>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Lato" w:hAnsi="Lato" w:eastAsia="Lato" w:cs="Lato"/>
                <w:i w:val="false"/>
                <w:b w:val="false"/>
                <w:u w:val="none"/>
                <w:sz w:val="22"/>
                <w:szCs w:val="22"/>
                <w:color w:val="000000"/>
              </w:rPr>
              <w:br/>
            </w:r>
            <w:r>
              <w:rPr>
                <w:rFonts w:ascii="Lato" w:hAnsi="Lato" w:eastAsia="Lato" w:cs="Lato"/>
                <w:i w:val="false"/>
                <w:b w:val="false"/>
                <w:u w:val="none"/>
                <w:sz w:val="22"/>
                <w:szCs w:val="22"/>
                <w:color w:val="000000"/>
              </w:rPr>
              <w:t xml:space="preserve">Note: The symbol " - " means no deficit was found; an empty cell means no data was provided. The Average values are the means across all areas where a deficit was found.</w:t>
            </w:r>
          </w:p>
        </w:tc>
      </w:tr>
    </w:tbl>
    <w:p>
      <w:r>
        <w:br w:type="page"/>
      </w:r>
    </w:p>
    <w:bookmarkEnd w:id="28"/>
    <w:bookmarkStart w:id="32" w:name="mean-measurements-and-recommendations"/>
    <w:p>
      <w:pPr>
        <w:pStyle w:val="Heading2"/>
      </w:pPr>
      <w:r>
        <w:t xml:space="preserve">Mean measurements and recommendations</w:t>
      </w:r>
    </w:p>
    <w:p>
      <w:pPr>
        <w:pStyle w:val="FirstParagraph"/>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35"/>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pH</w:t>
      </w:r>
    </w:p>
    <w:p>
      <w:pPr>
        <w:pStyle w:val="BodyText"/>
      </w:pPr>
      <w:r>
        <w:t xml:space="preserve">The average pH is 7.3. This is within the optimum range for soil microbial activity and soil nutrient availability. With the pH is this range, there is a chance of seeing some iron chlorosis. If this does occur, you can fix it by making foliar applications of ferrous sulfate.</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36"/>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Organic Matter </w:t>
      </w:r>
    </w:p>
    <w:p>
      <w:pPr>
        <w:pStyle w:val="BodyText"/>
      </w:pPr>
      <w:r>
        <w:t xml:space="preserve">The average Organic Matter (%) measurement is above 4.5%. [TODO: Add custom comment]</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37"/>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Total Nitrogen </w:t>
      </w:r>
    </w:p>
    <w:p>
      <w:pPr>
        <w:pStyle w:val="BodyText"/>
      </w:pPr>
      <w:r>
        <w:t xml:space="preserve">The total available Nitrogen measurement is the sum of the Ammonium (NH</w:t>
      </w:r>
      <w:r>
        <w:rPr>
          <w:vertAlign w:val="subscript"/>
        </w:rPr>
        <w:t xml:space="preserve">4</w:t>
      </w:r>
      <w:r>
        <w:t xml:space="preserve">-N) and Nitrate (NO</w:t>
      </w:r>
      <w:r>
        <w:rPr>
          <w:vertAlign w:val="subscript"/>
        </w:rPr>
        <w:t xml:space="preserve">3</w:t>
      </w:r>
      <w:r>
        <w:t xml:space="preserve">-N) measurements. The average total available Nitrogen is 17.6 ppm. This is above the optimal range of 5 ppm - 10 ppm for soil nitrogen. Excessive soil nitrogen may result in unwanted turfgrass growth and increased organic matter.</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38"/>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Potassium </w:t>
      </w:r>
    </w:p>
    <w:p>
      <w:pPr>
        <w:pStyle w:val="BodyText"/>
      </w:pPr>
      <w:r>
        <w:t xml:space="preserve">The mean Potassium (ppm) measurement is 340 ppm and is above the MLSN value of 76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39"/>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Phosphorus </w:t>
      </w:r>
    </w:p>
    <w:p>
      <w:pPr>
        <w:pStyle w:val="BodyText"/>
      </w:pPr>
      <w:r>
        <w:t xml:space="preserve">The mean Phosphorus (ppm) measurement is 43 ppm and is above the MLSN value of 31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40"/>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Calcium </w:t>
      </w:r>
    </w:p>
    <w:p>
      <w:pPr>
        <w:pStyle w:val="BodyText"/>
      </w:pPr>
      <w:r>
        <w:t xml:space="preserve">The mean Calcium (ppm) measurement is 2780 ppm and is above the MLSN value of 339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41"/>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Magnesium </w:t>
      </w:r>
    </w:p>
    <w:p>
      <w:pPr>
        <w:pStyle w:val="BodyText"/>
      </w:pPr>
      <w:r>
        <w:t xml:space="preserve">The mean Magnesium (ppm) measurement is 450 ppm and is above the MLSN value of 52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42"/>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Sodium </w:t>
      </w:r>
    </w:p>
    <w:p>
      <w:pPr>
        <w:pStyle w:val="BodyText"/>
      </w:pPr>
      <w:r>
        <w:t xml:space="preserve">The average Sodium is 210 ppm. This is above 110 ppm, the beginning threshold for negative effects of sodium on turfgrass. Excessive sodium in the soil destroys soil structure and may increase osmotic stress to the plant.</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43"/>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Sulfur </w:t>
      </w:r>
    </w:p>
    <w:p>
      <w:pPr>
        <w:pStyle w:val="BodyText"/>
      </w:pPr>
      <w:r>
        <w:t xml:space="preserve">The mean Sulfur (ppm) measurement is 58 ppm and is above the MLSN value of 12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44"/>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Iron </w:t>
      </w:r>
    </w:p>
    <w:p>
      <w:pPr>
        <w:pStyle w:val="BodyText"/>
      </w:pPr>
      <w:r>
        <w:t xml:space="preserve">The mean Iron (ppm) measurement is 130 ppm and is above the MLSN value of 44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45"/>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Manganese </w:t>
      </w:r>
    </w:p>
    <w:p>
      <w:pPr>
        <w:pStyle w:val="BodyText"/>
      </w:pPr>
      <w:r>
        <w:t xml:space="preserve">The mean Manganese (ppm) measurement is 55 ppm and is above the MLSN value of 6.1 ppm for all the samples. [Something along the lines of all is well.]</w:t>
      </w:r>
    </w:p>
    <w:p>
      <w:pPr>
        <w:sectPr w:officer="true">
          <w:type w:val="continuous"/>
          <w:cols w:num="2" w:sep="0" w:space="360" w:equalWidth="0">
            <w:col w:w="1440" w:space="360"/>
            <w:col w:w="7920"/>
          </w:cols>
          <w:pgSz w:h="15840" w:w="12240" w:orient="portrait"/>
          <w:pgMar w:header="720" w:bottom="1440" w:top="965" w:right="1440" w:left="1440" w:footer="720" w:gutter="0"/>
        </w:sectPr>
      </w:pPr>
    </w:p>
    <w:p>
      <w:pPr>
        <w:sectPr w:officer="true">
          <w:type w:val="continuous"/>
          <w:cols/>
          <w:pgSz w:h="15840" w:w="12240" w:orient="portrait"/>
          <w:pgMar w:header="720" w:bottom="1440" w:top="965" w:right="1440" w:left="1440" w:footer="720" w:gutter="0"/>
        </w:sectPr>
      </w:pPr>
    </w:p>
    <w:p>
      <w:pPr>
        <w:jc w:val="center"/>
        <w:pStyle w:val="Figure"/>
      </w:pPr>
      <w:r>
        <w:rPr/>
        <w:drawing>
          <wp:inline distT="0" distB="0" distL="0" distR="0">
            <wp:extent cx="685800" cy="6858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46"/>
                    <a:stretch>
                      <a:fillRect/>
                    </a:stretch>
                  </pic:blipFill>
                  <pic:spPr bwMode="auto">
                    <a:xfrm>
                      <a:off x="0" y="0"/>
                      <a:ext cx="9525" cy="9525"/>
                    </a:xfrm>
                    <a:prstGeom prst="rect">
                      <a:avLst/>
                    </a:prstGeom>
                    <a:noFill/>
                  </pic:spPr>
                </pic:pic>
              </a:graphicData>
            </a:graphic>
          </wp:inline>
        </w:drawing>
      </w:r>
    </w:p>
    <w:p>
      <w:pPr>
        <w:pStyle w:val="BodyText"/>
      </w:pPr>
      <w:r>
        <w:br w:type="column"/>
      </w:r>
      <w:r>
        <w:rPr>
          <w:rFonts w:ascii="Lato" w:hAnsi="Lato" w:eastAsia="Lato" w:cs="Lato"/>
          <w:i w:val="false"/>
          <w:b w:val="true"/>
          <w:u w:val="none"/>
          <w:sz w:val="26"/>
          <w:szCs w:val="26"/>
          <w:color w:val="000000"/>
        </w:rPr>
        <w:t xml:space="preserve">Micronutrients</w:t>
      </w:r>
    </w:p>
    <w:p>
      <w:pPr>
        <w:pStyle w:val="BodyText"/>
      </w:pPr>
      <w:r>
        <w:t xml:space="preserve">All Micronutrients are present and there are no recommendations for additional applications.</w:t>
      </w:r>
    </w:p>
    <w:p>
      <w:pPr>
        <w:sectPr w:officer="true">
          <w:type w:val="continuous"/>
          <w:cols w:num="2" w:sep="0" w:space="360" w:equalWidth="0">
            <w:col w:w="1440" w:space="360"/>
            <w:col w:w="7920"/>
          </w:cols>
          <w:pgSz w:h="15840" w:w="12240" w:orient="portrait"/>
          <w:pgMar w:header="720" w:bottom="1440" w:top="965" w:right="1440" w:left="1440" w:footer="720" w:gutter="0"/>
        </w:sectPr>
      </w:pPr>
    </w:p>
    <w:p>
      <w:r>
        <w:br w:type="page"/>
      </w:r>
    </w:p>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7315200" cy="9144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47"/>
                    <a:stretch>
                      <a:fillRect/>
                    </a:stretch>
                  </pic:blipFill>
                  <pic:spPr bwMode="auto">
                    <a:xfrm>
                      <a:off x="0" y="0"/>
                      <a:ext cx="101600" cy="12700"/>
                    </a:xfrm>
                    <a:prstGeom prst="rect">
                      <a:avLst/>
                    </a:prstGeom>
                    <a:noFill/>
                  </pic:spPr>
                </pic:pic>
              </a:graphicData>
            </a:graphic>
          </wp:inline>
        </w:drawing>
      </w:r>
    </w:p>
    <w:p>
      <w:pPr>
        <w:pStyle w:val="BodyText"/>
      </w:pPr>
      <w:r>
        <w:drawing>
          <wp:inline>
            <wp:extent cx="5943600" cy="6397751"/>
            <wp:effectExtent b="0" l="0" r="0" t="0"/>
            <wp:docPr descr="" title="" id="41" name="Picture"/>
            <a:graphic>
              <a:graphicData uri="http://schemas.openxmlformats.org/drawingml/2006/picture">
                <pic:pic>
                  <pic:nvPicPr>
                    <pic:cNvPr descr="/Users/ericfoerster/torv-reports/tests/test-reports/Wellshire_202111/figures/trendlines/trend_plot_soil_fairway.png" id="42" name="Picture"/>
                    <pic:cNvPicPr>
                      <a:picLocks noChangeArrowheads="1" noChangeAspect="1"/>
                    </pic:cNvPicPr>
                  </pic:nvPicPr>
                  <pic:blipFill>
                    <a:blip r:embed="rId29"/>
                    <a:stretch>
                      <a:fillRect/>
                    </a:stretch>
                  </pic:blipFill>
                  <pic:spPr bwMode="auto">
                    <a:xfrm>
                      <a:off x="0" y="0"/>
                      <a:ext cx="5943600" cy="6397751"/>
                    </a:xfrm>
                    <a:prstGeom prst="rect">
                      <a:avLst/>
                    </a:prstGeom>
                    <a:noFill/>
                    <a:ln w="9525">
                      <a:noFill/>
                      <a:headEnd/>
                      <a:tailEnd/>
                    </a:ln>
                  </pic:spPr>
                </pic:pic>
              </a:graphicData>
            </a:graphic>
          </wp:inline>
        </w:drawing>
      </w:r>
    </w:p>
    <w:bookmarkEnd w:id="32"/>
    <w:sectPr w:officer="true">
      <w:pgMar w:header="720" w:bottom="1440" w:top="965" w:right="1440" w:left="1440" w:footer="720" w:gutter="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wan">
    <w:panose1 w:val="00000000000000000000"/>
    <w:charset w:val="00"/>
    <w:family w:val="modern"/>
    <w:notTrueType/>
    <w:pitch w:val="variable"/>
    <w:sig w:usb0="8000006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4D"/>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85B28204"/>
    <w:lvl w:ilvl="0">
      <w:start w:val="1"/>
      <w:numFmt w:val="bullet"/>
      <w:lvlText w:val=""/>
      <w:lvlJc w:val="left"/>
      <w:pPr>
        <w:ind w:hanging="480" w:left="720"/>
      </w:pPr>
      <w:rPr>
        <w:rFonts w:ascii="Symbol" w:hAnsi="Symbol" w:hint="default"/>
      </w:r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5E36DB6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F46216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B7C6AD9E"/>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05CCD2E2"/>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0AC6B19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2FA4F4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5CE0856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930CE7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10CCE1E"/>
    <w:lvl w:ilvl="0">
      <w:start w:val="1"/>
      <w:numFmt w:val="decimal"/>
      <w:pStyle w:val="ListNumber"/>
      <w:lvlText w:val="%1."/>
      <w:lvlJc w:val="left"/>
      <w:pPr>
        <w:tabs>
          <w:tab w:pos="360" w:val="num"/>
        </w:tabs>
        <w:ind w:hanging="360" w:left="360"/>
      </w:pPr>
    </w:lvl>
  </w:abstractNum>
  <w:abstractNum w15:restartNumberingAfterBreak="0" w:abstractNumId="10">
    <w:nsid w:val="FFFFFF89"/>
    <w:multiLevelType w:val="singleLevel"/>
    <w:tmpl w:val="19FE758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1">
    <w:nsid w:val="0000A991"/>
    <w:multiLevelType w:val="multilevel"/>
    <w:tmpl w:val="3B743A1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DFC2FA7"/>
    <w:multiLevelType w:val="hybridMultilevel"/>
    <w:tmpl w:val="77B00678"/>
    <w:lvl w:ilvl="0" w:tplc="0809000F">
      <w:start w:val="1"/>
      <w:numFmt w:val="decimal"/>
      <w:lvlText w:val="%1."/>
      <w:lvlJc w:val="left"/>
      <w:pPr>
        <w:ind w:hanging="360" w:left="720"/>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2C1AE401"/>
    <w:multiLevelType w:val="multilevel"/>
    <w:tmpl w:val="43E8AA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4">
    <w:nsid w:val="71315DCA"/>
    <w:multiLevelType w:val="multilevel"/>
    <w:tmpl w:val="5618284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5">
    <w:nsid w:val="7A960D59"/>
    <w:multiLevelType w:val="hybridMultilevel"/>
    <w:tmpl w:val="8BEC718E"/>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35359359" w:numId="1">
    <w:abstractNumId w:val="13"/>
  </w:num>
  <w:num w16cid:durableId="199703703"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50287311" w:numId="3">
    <w:abstractNumId w:val="14"/>
  </w:num>
  <w:num w16cid:durableId="1791317968" w:numId="4">
    <w:abstractNumId w:val="14"/>
  </w:num>
  <w:num w16cid:durableId="242107826" w:numId="5">
    <w:abstractNumId w:val="14"/>
  </w:num>
  <w:num w16cid:durableId="1438678812" w:numId="6">
    <w:abstractNumId w:val="14"/>
  </w:num>
  <w:num w16cid:durableId="1630941703" w:numId="7">
    <w:abstractNumId w:val="14"/>
  </w:num>
  <w:num w16cid:durableId="2039424505" w:numId="8">
    <w:abstractNumId w:val="10"/>
  </w:num>
  <w:num w16cid:durableId="1858620148" w:numId="9">
    <w:abstractNumId w:val="8"/>
  </w:num>
  <w:num w16cid:durableId="1196043941" w:numId="10">
    <w:abstractNumId w:val="7"/>
  </w:num>
  <w:num w16cid:durableId="154734522" w:numId="11">
    <w:abstractNumId w:val="6"/>
  </w:num>
  <w:num w16cid:durableId="1531599966" w:numId="12">
    <w:abstractNumId w:val="5"/>
  </w:num>
  <w:num w16cid:durableId="358625379" w:numId="13">
    <w:abstractNumId w:val="9"/>
  </w:num>
  <w:num w16cid:durableId="1231768313" w:numId="14">
    <w:abstractNumId w:val="4"/>
  </w:num>
  <w:num w16cid:durableId="1609659278" w:numId="15">
    <w:abstractNumId w:val="3"/>
  </w:num>
  <w:num w16cid:durableId="1388260359" w:numId="16">
    <w:abstractNumId w:val="2"/>
  </w:num>
  <w:num w16cid:durableId="1711538827" w:numId="17">
    <w:abstractNumId w:val="1"/>
  </w:num>
  <w:num w16cid:durableId="797650375" w:numId="18">
    <w:abstractNumId w:val="13"/>
  </w:num>
  <w:num w16cid:durableId="975255473"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6262649" w:numId="20">
    <w:abstractNumId w:val="14"/>
  </w:num>
  <w:num w16cid:durableId="1305740974" w:numId="21">
    <w:abstractNumId w:val="14"/>
  </w:num>
  <w:num w16cid:durableId="1876382107" w:numId="22">
    <w:abstractNumId w:val="14"/>
  </w:num>
  <w:num w16cid:durableId="127407136" w:numId="23">
    <w:abstractNumId w:val="14"/>
  </w:num>
  <w:num w16cid:durableId="1694261379" w:numId="24">
    <w:abstractNumId w:val="14"/>
  </w:num>
  <w:num w16cid:durableId="1813256415" w:numId="25">
    <w:abstractNumId w:val="13"/>
  </w:num>
  <w:num w16cid:durableId="98531368"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80738517" w:numId="27">
    <w:abstractNumId w:val="14"/>
  </w:num>
  <w:num w16cid:durableId="2101565501" w:numId="28">
    <w:abstractNumId w:val="14"/>
  </w:num>
  <w:num w16cid:durableId="80956689" w:numId="29">
    <w:abstractNumId w:val="14"/>
  </w:num>
  <w:num w16cid:durableId="1254633671" w:numId="30">
    <w:abstractNumId w:val="14"/>
  </w:num>
  <w:num w16cid:durableId="1466122126" w:numId="31">
    <w:abstractNumId w:val="14"/>
  </w:num>
  <w:num w16cid:durableId="95684412" w:numId="32">
    <w:abstractNumId w:val="13"/>
  </w:num>
  <w:num w16cid:durableId="2062366476" w:numId="33">
    <w:abstractNumId w:val="0"/>
  </w:num>
  <w:num w16cid:durableId="584188378" w:numId="34">
    <w:abstractNumId w:val="14"/>
  </w:num>
  <w:num w16cid:durableId="2055419173" w:numId="35">
    <w:abstractNumId w:val="14"/>
  </w:num>
  <w:num w16cid:durableId="611321284" w:numId="36">
    <w:abstractNumId w:val="14"/>
  </w:num>
  <w:num w16cid:durableId="1570657001" w:numId="37">
    <w:abstractNumId w:val="14"/>
  </w:num>
  <w:num w16cid:durableId="1276907278" w:numId="38">
    <w:abstractNumId w:val="14"/>
  </w:num>
  <w:num w16cid:durableId="84226817" w:numId="39">
    <w:abstractNumId w:val="12"/>
  </w:num>
  <w:num w16cid:durableId="920062791" w:numId="40">
    <w:abstractNumId w:val="15"/>
  </w:num>
  <w:num w16cid:durableId="996615908" w:numId="41">
    <w:abstractNumId w:val="11"/>
  </w:num>
  <w:num w:numId="1000">
    <w:abstractNumId w:val="990"/>
  </w:num>
  <w:num w:numId="1001">
    <w:abstractNumId w:val="991"/>
  </w:num>
  <w:num w:numId="1002">
    <w:abstractNumId w:val="991"/>
  </w:num>
</w:numbering>
</file>

<file path=word/settings.xml><?xml version="1.0" encoding="utf-8"?>
<w:settings xmlns:w="http://schemas.openxmlformats.org/wordprocessingml/2006/main">
  <w:zoom w:percent="8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635AD"/>
    <w:rPr>
      <w:rFonts w:ascii="Rowan" w:hAnsi="Rowan"/>
      <w:sz w:val="22"/>
    </w:rPr>
  </w:style>
  <w:style w:styleId="Heading1" w:type="paragraph">
    <w:name w:val="heading 1"/>
    <w:basedOn w:val="Normal"/>
    <w:next w:val="BodyText"/>
    <w:uiPriority w:val="9"/>
    <w:qFormat/>
    <w:rsid w:val="00671BA2"/>
    <w:pPr>
      <w:keepNext/>
      <w:keepLines/>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E635AD"/>
    <w:pPr>
      <w:keepNext/>
      <w:keepLines/>
      <w:spacing w:after="120" w:before="320"/>
      <w:outlineLvl w:val="1"/>
    </w:pPr>
    <w:rPr>
      <w:rFonts w:ascii="Lato" w:cstheme="majorBidi" w:eastAsiaTheme="majorEastAsia" w:hAnsi="Lato"/>
      <w:b/>
      <w:bCs/>
      <w:color w:themeColor="text1" w:val="000000"/>
      <w:sz w:val="26"/>
      <w:szCs w:val="28"/>
    </w:rPr>
  </w:style>
  <w:style w:styleId="Heading3" w:type="paragraph">
    <w:name w:val="heading 3"/>
    <w:basedOn w:val="Normal"/>
    <w:next w:val="BodyText"/>
    <w:uiPriority w:val="9"/>
    <w:unhideWhenUsed/>
    <w:qFormat/>
    <w:rsid w:val="0018706B"/>
    <w:pPr>
      <w:keepNext/>
      <w:keepLines/>
      <w:spacing w:after="0" w:before="200"/>
      <w:outlineLvl w:val="2"/>
    </w:pPr>
    <w:rPr>
      <w:rFonts w:ascii="Lato" w:cstheme="majorBidi" w:eastAsiaTheme="majorEastAsia" w:hAnsi="Lato"/>
      <w:b/>
      <w:bCs/>
      <w:color w:themeColor="text1" w:val="000000"/>
      <w:sz w:val="24"/>
    </w:rPr>
  </w:style>
  <w:style w:styleId="Heading4" w:type="paragraph">
    <w:name w:val="heading 4"/>
    <w:basedOn w:val="Normal"/>
    <w:next w:val="BodyText"/>
    <w:uiPriority w:val="9"/>
    <w:unhideWhenUsed/>
    <w:qFormat/>
    <w:rsid w:val="00671BA2"/>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635A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635AD"/>
    <w:rPr>
      <w:rFonts w:ascii="Rowan" w:hAnsi="Rowan"/>
      <w:sz w:val="22"/>
    </w:rPr>
  </w:style>
  <w:style w:styleId="BalloonText" w:type="paragraph">
    <w:name w:val="Balloon Text"/>
    <w:basedOn w:val="Normal"/>
    <w:link w:val="BalloonTextChar"/>
    <w:semiHidden/>
    <w:unhideWhenUsed/>
    <w:rsid w:val="002152DB"/>
    <w:pPr>
      <w:spacing w:after="0"/>
    </w:pPr>
    <w:rPr>
      <w:rFonts w:ascii="Tahoma" w:cs="Tahoma" w:hAnsi="Tahoma"/>
      <w:sz w:val="16"/>
      <w:szCs w:val="16"/>
    </w:rPr>
  </w:style>
  <w:style w:customStyle="1" w:styleId="BalloonTextChar" w:type="character">
    <w:name w:val="Balloon Text Char"/>
    <w:basedOn w:val="DefaultParagraphFont"/>
    <w:link w:val="BalloonText"/>
    <w:semiHidden/>
    <w:rsid w:val="002152DB"/>
    <w:rPr>
      <w:rFonts w:ascii="Tahoma" w:cs="Tahoma" w:hAnsi="Tahoma"/>
      <w:sz w:val="16"/>
      <w:szCs w:val="16"/>
    </w:rPr>
  </w:style>
  <w:style w:styleId="ListBullet" w:type="paragraph">
    <w:name w:val="List Bullet"/>
    <w:basedOn w:val="Normal"/>
    <w:unhideWhenUsed/>
    <w:rsid w:val="00C15EE3"/>
    <w:pPr>
      <w:numPr>
        <w:numId w:val="8"/>
      </w:numPr>
      <w:contextualSpacing/>
    </w:pPr>
  </w:style>
  <w:style w:styleId="ListNumber" w:type="paragraph">
    <w:name w:val="List Number"/>
    <w:basedOn w:val="Normal"/>
    <w:unhideWhenUsed/>
    <w:rsid w:val="00C15EE3"/>
    <w:pPr>
      <w:numPr>
        <w:numId w:val="13"/>
      </w:numPr>
      <w:contextualSpacing/>
    </w:pPr>
  </w:style>
  <w:style w:styleId="Header" w:type="paragraph">
    <w:name w:val="header"/>
    <w:basedOn w:val="Normal"/>
    <w:link w:val="HeaderChar"/>
    <w:unhideWhenUsed/>
    <w:rsid w:val="00B31334"/>
    <w:pPr>
      <w:tabs>
        <w:tab w:pos="4680" w:val="center"/>
        <w:tab w:pos="9360" w:val="right"/>
      </w:tabs>
      <w:spacing w:after="0"/>
    </w:pPr>
  </w:style>
  <w:style w:customStyle="1" w:styleId="HeaderChar" w:type="character">
    <w:name w:val="Header Char"/>
    <w:basedOn w:val="DefaultParagraphFont"/>
    <w:link w:val="Header"/>
    <w:rsid w:val="00B31334"/>
  </w:style>
  <w:style w:styleId="Footer" w:type="paragraph">
    <w:name w:val="footer"/>
    <w:basedOn w:val="Normal"/>
    <w:link w:val="FooterChar"/>
    <w:unhideWhenUsed/>
    <w:rsid w:val="00B31334"/>
    <w:pPr>
      <w:tabs>
        <w:tab w:pos="4680" w:val="center"/>
        <w:tab w:pos="9360" w:val="right"/>
      </w:tabs>
      <w:spacing w:after="0"/>
    </w:pPr>
  </w:style>
  <w:style w:customStyle="1" w:styleId="FooterChar" w:type="character">
    <w:name w:val="Footer Char"/>
    <w:basedOn w:val="DefaultParagraphFont"/>
    <w:link w:val="Footer"/>
    <w:rsid w:val="00B31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0" Type="http://schemas.openxmlformats.org/officeDocument/2006/relationships/image" Target="media/rId20.png"/>
<Relationship Id="rId24" Type="http://schemas.openxmlformats.org/officeDocument/2006/relationships/image" Target="media/rId24.png"/>
<Relationship Id="rId29" Type="http://schemas.openxmlformats.org/officeDocument/2006/relationships/image" Target="media/rId29.png"/>
<Relationship Id="rId30" Type="http://schemas.openxmlformats.org/officeDocument/2006/relationships/image" Target="media/f1e44b35dc3b336f10d922b3d7e3f7b215a0800f.png"/>
<Relationship Id="rId31" Type="http://schemas.openxmlformats.org/officeDocument/2006/relationships/image" Target="media/dbf2b3befc4242964a94bbcd181645fb88c2ed49.png"/>
<Relationship Id="rId32" Type="http://schemas.openxmlformats.org/officeDocument/2006/relationships/image" Target="media/7d98893e38e2a18e1e2e48865f4cc9e2f377204c.png"/>
<Relationship Id="rId33" Type="http://schemas.openxmlformats.org/officeDocument/2006/relationships/image" Target="media/2d97fa907d59bad0f4cad84208a32de2f14df101.png"/>
<Relationship Id="rId34" Type="http://schemas.openxmlformats.org/officeDocument/2006/relationships/image" Target="media/229cad4f662c0161e00a463336416643fb7618f1.png"/>
<Relationship Id="rId35" Type="http://schemas.openxmlformats.org/officeDocument/2006/relationships/image" Target="media/e4b115af6c02a8d6d536357509ed4410f16d80d5.png"/>
<Relationship Id="rId36" Type="http://schemas.openxmlformats.org/officeDocument/2006/relationships/image" Target="media/63d11dc4f3062466b920efa8918b1896b2764eb2.png"/>
<Relationship Id="rId37" Type="http://schemas.openxmlformats.org/officeDocument/2006/relationships/image" Target="media/14d707fd634cda5c5184b238b14f26709d305c08.png"/>
<Relationship Id="rId38" Type="http://schemas.openxmlformats.org/officeDocument/2006/relationships/image" Target="media/04984c473e6446fb3e47cd04ac82dc4786797203.png"/>
<Relationship Id="rId39" Type="http://schemas.openxmlformats.org/officeDocument/2006/relationships/image" Target="media/62763e3ceedcc86d7ec2de90cd35efeae4046bae.png"/>
<Relationship Id="rId40" Type="http://schemas.openxmlformats.org/officeDocument/2006/relationships/image" Target="media/12b805bdad352d480b0f522719dfd93e8b4b6e1b.png"/>
<Relationship Id="rId41" Type="http://schemas.openxmlformats.org/officeDocument/2006/relationships/image" Target="media/3e9d1454480cb50caf37605fbc9fcd2071b5bfb5.png"/>
<Relationship Id="rId42" Type="http://schemas.openxmlformats.org/officeDocument/2006/relationships/image" Target="media/5bccb8412f534db54c7b86d3b80ccc8a8df68fd2.png"/>
<Relationship Id="rId43" Type="http://schemas.openxmlformats.org/officeDocument/2006/relationships/image" Target="media/663e3fccbd1da3a6a3767582737257156102fe31.png"/>
<Relationship Id="rId44" Type="http://schemas.openxmlformats.org/officeDocument/2006/relationships/image" Target="media/9f6549f99eff6926e8f643f66f325be1a9478254.png"/>
<Relationship Id="rId45" Type="http://schemas.openxmlformats.org/officeDocument/2006/relationships/image" Target="media/6ae5ff387aa566a5f489a638496fc8287af2be08.png"/>
<Relationship Id="rId46" Type="http://schemas.openxmlformats.org/officeDocument/2006/relationships/image" Target="media/124620d6d4a485c9fe88598c3972a2d41570d36c.png"/>
<Relationship Id="rId47" Type="http://schemas.openxmlformats.org/officeDocument/2006/relationships/image" Target="media/e9424dc64767fc468d6a6b5dd9d778795d88ccf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2023-11-22T21:26:51Z</dcterms:created>
  <dcterms:modified xsi:type="dcterms:W3CDTF">2023-11-22T14:26:51Z</dcterms:modified>
  <cp:lastModifiedBy>ericfoerster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