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9F0DB5" w:rsidRPr="0091371A" w:rsidRDefault="009F0DB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0103E1" w:rsidRDefault="000103E1" w:rsidP="00B33475">
      <w:pPr>
        <w:ind w:firstLine="0"/>
        <w:jc w:val="center"/>
        <w:rPr>
          <w:b/>
          <w:bCs/>
          <w:sz w:val="28"/>
        </w:rPr>
      </w:pPr>
    </w:p>
    <w:p w:rsidR="000103E1" w:rsidRPr="00126C95" w:rsidRDefault="000103E1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AA0067">
        <w:trPr>
          <w:trHeight w:val="683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F33451" w:rsidRDefault="00B806BB" w:rsidP="00B806BB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</w:p>
        </w:tc>
      </w:tr>
      <w:tr w:rsidR="0098268F" w:rsidTr="009F0DB5">
        <w:trPr>
          <w:trHeight w:val="1043"/>
        </w:trPr>
        <w:tc>
          <w:tcPr>
            <w:tcW w:w="567" w:type="dxa"/>
          </w:tcPr>
          <w:p w:rsidR="0098268F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2. </w:t>
            </w:r>
          </w:p>
        </w:tc>
        <w:tc>
          <w:tcPr>
            <w:tcW w:w="4219" w:type="dxa"/>
          </w:tcPr>
          <w:p w:rsidR="0098268F" w:rsidRPr="0023708F" w:rsidRDefault="0098268F" w:rsidP="001B7E70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</w:t>
            </w:r>
            <w:r w:rsidRPr="0023708F">
              <w:rPr>
                <w:rFonts w:eastAsia="Calibri"/>
                <w:bCs/>
                <w:lang w:eastAsia="en-US"/>
              </w:rPr>
              <w:t>проекта</w:t>
            </w:r>
          </w:p>
        </w:tc>
        <w:tc>
          <w:tcPr>
            <w:tcW w:w="10064" w:type="dxa"/>
          </w:tcPr>
          <w:p w:rsidR="00DA2BF9" w:rsidRDefault="00DA2BF9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Уменьшение простоев транспортировочных конвейеров агломерационного</w:t>
            </w:r>
            <w:r w:rsidRPr="00F33451">
              <w:rPr>
                <w:rFonts w:eastAsia="Calibri"/>
                <w:bCs/>
                <w:lang w:eastAsia="en-US"/>
              </w:rPr>
              <w:t xml:space="preserve"> производства ПАО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</w:t>
            </w:r>
            <w:r>
              <w:rPr>
                <w:rFonts w:eastAsia="Calibri"/>
                <w:bCs/>
                <w:lang w:eastAsia="en-US"/>
              </w:rPr>
              <w:t>», за счёт обнаружения посторонних предметов в сыпучих материалах.</w:t>
            </w:r>
          </w:p>
          <w:p w:rsidR="00DA2BF9" w:rsidRPr="00F33451" w:rsidRDefault="00DA2BF9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Устранения причин попадания посторонних предметов в сыпучих мат</w:t>
            </w:r>
            <w:r w:rsidR="001A53DE">
              <w:rPr>
                <w:rFonts w:eastAsia="Calibri"/>
                <w:bCs/>
                <w:lang w:eastAsia="en-US"/>
              </w:rPr>
              <w:t xml:space="preserve">ериалах за счёт их классификации. </w:t>
            </w:r>
          </w:p>
        </w:tc>
      </w:tr>
      <w:tr w:rsidR="00B55F3E" w:rsidTr="00AA0067">
        <w:trPr>
          <w:trHeight w:val="694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F33451" w:rsidRDefault="00F3345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01.10.2019 - </w:t>
            </w:r>
            <w:r w:rsidR="00A20C1F">
              <w:rPr>
                <w:rFonts w:eastAsia="Calibri"/>
                <w:bCs/>
                <w:lang w:eastAsia="en-US"/>
              </w:rPr>
              <w:t>30</w:t>
            </w:r>
            <w:r w:rsidR="00D50771" w:rsidRPr="00F33451">
              <w:rPr>
                <w:rFonts w:eastAsia="Calibri"/>
                <w:bCs/>
                <w:lang w:eastAsia="en-US"/>
              </w:rPr>
              <w:t>.05.2020</w:t>
            </w:r>
          </w:p>
        </w:tc>
      </w:tr>
      <w:tr w:rsidR="00B55F3E" w:rsidTr="009F0DB5">
        <w:trPr>
          <w:trHeight w:val="983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 проекта (ФИО, должность, организация)</w:t>
            </w:r>
          </w:p>
        </w:tc>
        <w:tc>
          <w:tcPr>
            <w:tcW w:w="10064" w:type="dxa"/>
          </w:tcPr>
          <w:p w:rsidR="00DA2BF9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</w:t>
            </w:r>
            <w:r w:rsidR="001734CF">
              <w:rPr>
                <w:rFonts w:eastAsia="Calibri"/>
                <w:bCs/>
                <w:lang w:eastAsia="en-US"/>
              </w:rPr>
              <w:t>,</w:t>
            </w:r>
            <w:r w:rsidR="00DA2BF9">
              <w:rPr>
                <w:rFonts w:eastAsia="Calibri"/>
                <w:bCs/>
                <w:lang w:eastAsia="en-US"/>
              </w:rPr>
              <w:t xml:space="preserve">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</w:p>
        </w:tc>
      </w:tr>
      <w:tr w:rsidR="00D50771" w:rsidTr="00AA0067">
        <w:tc>
          <w:tcPr>
            <w:tcW w:w="567" w:type="dxa"/>
          </w:tcPr>
          <w:p w:rsidR="00D50771" w:rsidRPr="00B55F3E" w:rsidRDefault="00D50771" w:rsidP="00D50771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Консультант(ы) проекта (ФИО, должность, организация)</w:t>
            </w:r>
          </w:p>
        </w:tc>
        <w:tc>
          <w:tcPr>
            <w:tcW w:w="10064" w:type="dxa"/>
          </w:tcPr>
          <w:p w:rsidR="00D50771" w:rsidRPr="00F33451" w:rsidRDefault="006760BE" w:rsidP="000D7239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Игорь Андреевич Варфоломеев, старший менеджер по макропроектам,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</w:p>
        </w:tc>
      </w:tr>
    </w:tbl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</w:p>
    <w:p w:rsidR="000D7239" w:rsidRPr="005E5C5D" w:rsidRDefault="000D7239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 w:rsidRPr="005E5C5D">
        <w:rPr>
          <w:rFonts w:eastAsia="Calibri"/>
          <w:b/>
          <w:bCs/>
          <w:lang w:eastAsia="en-US"/>
        </w:rPr>
        <w:br w:type="page"/>
      </w: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10035"/>
      </w:tblGrid>
      <w:tr w:rsidR="001B7E70" w:rsidTr="001A53DE">
        <w:trPr>
          <w:trHeight w:val="424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48" w:type="dxa"/>
          </w:tcPr>
          <w:p w:rsidR="001B7E70" w:rsidRDefault="009F0DB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</w:t>
            </w:r>
            <w:r w:rsidR="001B7E70">
              <w:rPr>
                <w:rFonts w:eastAsia="Calibri"/>
                <w:bCs/>
                <w:lang w:eastAsia="en-US"/>
              </w:rPr>
              <w:t xml:space="preserve"> проблемы </w:t>
            </w:r>
          </w:p>
        </w:tc>
        <w:tc>
          <w:tcPr>
            <w:tcW w:w="10035" w:type="dxa"/>
          </w:tcPr>
          <w:p w:rsidR="001B7E70" w:rsidRDefault="008529C1" w:rsidP="001950AA">
            <w:pPr>
              <w:spacing w:before="120" w:after="12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Компания ПАО </w:t>
            </w:r>
            <w:r w:rsidR="00907D10">
              <w:rPr>
                <w:rFonts w:eastAsia="Calibri"/>
              </w:rPr>
              <w:t>«</w:t>
            </w:r>
            <w:r>
              <w:rPr>
                <w:rFonts w:eastAsia="Calibri"/>
              </w:rPr>
              <w:t>Северсталь</w:t>
            </w:r>
            <w:r w:rsidR="00907D10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 географически расстилается по западной части России и за границей. Центром металлургической промышленности является Череповец, в котором расположен Череповецкий металлургический комбинат (ЧерМК). В состав ЧерМК входит агломератное производство, в котором для приготовления жидкого чугуна используют шихту. 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Шихтовые материалы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транспортировочною ленту, для перехода в агрегат.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Проблема заключается в том, что КАМАЗы, привозящие шихту, в кузове, работают в разных частях ЧерМК. В связи с этим в кузовах машины могу оставаться посторонние предметы, например, проволока, профиль, обломки листов металла и многое другое. Большинство такие предметов при попадании далее на транспортировочную ленту вместе с шихтой могут повредить ее. Самым тяжелым повреждением является ее обрыв, что приводит к простою не только конвейера, но и стана агломератного производства.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Целью дипломной работы является разработка информационно-вычислительной автоматизированной системы детекции посторонних предметов в сыпучих материалах для уменьшения повреждений транспортировочной ленты. При успешном внедрении и прохождении тестового срока на шихтовом дворе, система будет использоваться в других частях ЧерМК, для контроля сыпучих материалов.</w:t>
            </w:r>
          </w:p>
        </w:tc>
      </w:tr>
      <w:tr w:rsidR="001B7E70" w:rsidRPr="0060387D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48" w:type="dxa"/>
          </w:tcPr>
          <w:p w:rsidR="001B7E70" w:rsidRPr="003A0684" w:rsidRDefault="008058E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Существующий опыт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решени</w:t>
            </w:r>
            <w:r w:rsidRPr="003A0684">
              <w:rPr>
                <w:rFonts w:eastAsia="Calibri"/>
                <w:bCs/>
                <w:lang w:eastAsia="en-US"/>
              </w:rPr>
              <w:t>я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А)</w:t>
            </w:r>
            <w:r w:rsidR="008058E5" w:rsidRPr="003A0684">
              <w:rPr>
                <w:rFonts w:eastAsia="Calibri"/>
                <w:bCs/>
                <w:lang w:eastAsia="en-US"/>
              </w:rPr>
              <w:t xml:space="preserve"> Отечественный 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 xml:space="preserve">Б) Зарубежный 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35" w:type="dxa"/>
          </w:tcPr>
          <w:p w:rsidR="008176A4" w:rsidRDefault="000D7239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Отечественные аналоги:</w:t>
            </w:r>
          </w:p>
          <w:p w:rsidR="000D7239" w:rsidRPr="000D7239" w:rsidRDefault="000D7239" w:rsidP="000D7239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Визуальный осмотр сыпучего материала на предмет посторонних объектов</w:t>
            </w:r>
            <w:r w:rsidRPr="000D7239">
              <w:rPr>
                <w:rFonts w:eastAsia="Calibri"/>
                <w:bCs/>
                <w:lang w:eastAsia="en-US"/>
              </w:rPr>
              <w:t>;</w:t>
            </w:r>
          </w:p>
          <w:p w:rsidR="000D7239" w:rsidRPr="000D7239" w:rsidRDefault="000D7239" w:rsidP="000D7239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Предобученные нейронные сети, направленные на распознавание обыденных предметов.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6038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Зарубежные аналоги: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LUMINOTH – библиотека, позволяющая получить веса для нейронной сети, для дальнейшего использования их в готовом ПО по распознаванию обьектов.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val="en-US"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 xml:space="preserve">YOLO: Real-Time Object Detection – </w:t>
            </w:r>
            <w:r w:rsidRPr="003A0684">
              <w:rPr>
                <w:rFonts w:eastAsia="Calibri"/>
                <w:bCs/>
                <w:lang w:eastAsia="en-US"/>
              </w:rPr>
              <w:t>готовая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нейронная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сеть</w:t>
            </w:r>
            <w:r w:rsidRPr="003A0684">
              <w:rPr>
                <w:rFonts w:eastAsia="Calibri"/>
                <w:bCs/>
                <w:lang w:val="en-US" w:eastAsia="en-US"/>
              </w:rPr>
              <w:t>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>DeepDetect</w:t>
            </w:r>
            <w:r w:rsidRPr="003A0684">
              <w:rPr>
                <w:rFonts w:eastAsia="Calibri"/>
                <w:bCs/>
                <w:lang w:eastAsia="en-US"/>
              </w:rPr>
              <w:t xml:space="preserve"> – готовая обученная система распознавания, классификации, сегментации, распознавания текста.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>MIT</w:t>
            </w:r>
            <w:r w:rsidRPr="003A0684">
              <w:rPr>
                <w:rFonts w:eastAsia="Calibri"/>
                <w:bCs/>
                <w:lang w:eastAsia="en-US"/>
              </w:rPr>
              <w:t xml:space="preserve"> </w:t>
            </w:r>
            <w:r w:rsidRPr="003A0684">
              <w:rPr>
                <w:rFonts w:eastAsia="Calibri"/>
                <w:bCs/>
                <w:lang w:val="en-US" w:eastAsia="en-US"/>
              </w:rPr>
              <w:t>CSALL</w:t>
            </w:r>
            <w:r w:rsidRPr="003A0684">
              <w:rPr>
                <w:rFonts w:eastAsia="Calibri"/>
                <w:bCs/>
                <w:lang w:eastAsia="en-US"/>
              </w:rPr>
              <w:t xml:space="preserve"> – готовое решение по сегментации изображений.</w:t>
            </w:r>
          </w:p>
        </w:tc>
      </w:tr>
    </w:tbl>
    <w:p w:rsidR="001B7E70" w:rsidRPr="0060387D" w:rsidRDefault="001B7E70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 w:rsidRPr="0060387D">
        <w:rPr>
          <w:rFonts w:eastAsia="Calibri"/>
          <w:b/>
          <w:bCs/>
          <w:lang w:eastAsia="en-US"/>
        </w:rPr>
        <w:lastRenderedPageBreak/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  </w:t>
      </w:r>
      <w:r>
        <w:rPr>
          <w:rFonts w:eastAsia="Calibri"/>
          <w:b/>
          <w:bCs/>
          <w:lang w:eastAsia="en-US"/>
        </w:rPr>
        <w:t>Описание продуктового результата</w:t>
      </w:r>
      <w:r w:rsidR="00C34F68">
        <w:rPr>
          <w:rFonts w:eastAsia="Calibri"/>
          <w:b/>
          <w:bCs/>
          <w:lang w:eastAsia="en-US"/>
        </w:rPr>
        <w:t xml:space="preserve"> проекта</w:t>
      </w:r>
      <w:r>
        <w:rPr>
          <w:rFonts w:eastAsia="Calibri"/>
          <w:b/>
          <w:bCs/>
          <w:lang w:eastAsia="en-US"/>
        </w:rPr>
        <w:t>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AA0067">
        <w:trPr>
          <w:trHeight w:val="1524"/>
        </w:trPr>
        <w:tc>
          <w:tcPr>
            <w:tcW w:w="4786" w:type="dxa"/>
          </w:tcPr>
          <w:p w:rsidR="006A78F5" w:rsidRPr="008058E5" w:rsidRDefault="006A78F5" w:rsidP="008058E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</w:t>
            </w:r>
            <w:r w:rsidR="008058E5">
              <w:rPr>
                <w:rFonts w:eastAsia="Calibri"/>
                <w:bCs/>
                <w:lang w:eastAsia="en-US"/>
              </w:rPr>
              <w:t>ового результата</w:t>
            </w:r>
          </w:p>
        </w:tc>
        <w:tc>
          <w:tcPr>
            <w:tcW w:w="10064" w:type="dxa"/>
          </w:tcPr>
          <w:p w:rsidR="006A78F5" w:rsidRPr="00E25A2D" w:rsidRDefault="005422E7" w:rsidP="005422E7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«</w:t>
            </w:r>
            <w:r w:rsidR="00907D10"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="00907D10" w:rsidRPr="00F33451">
              <w:rPr>
                <w:rFonts w:eastAsia="Calibri"/>
                <w:bCs/>
                <w:lang w:eastAsia="en-US"/>
              </w:rPr>
              <w:t xml:space="preserve"> </w:t>
            </w:r>
            <w:r w:rsidR="00907D10"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="00907D10"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  <w:r>
              <w:rPr>
                <w:rFonts w:eastAsia="Calibri"/>
                <w:bCs/>
                <w:lang w:eastAsia="en-US"/>
              </w:rPr>
              <w:t>»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позволяет оператору быстро </w:t>
            </w:r>
            <w:r w:rsidR="009F6616">
              <w:rPr>
                <w:rFonts w:eastAsia="Calibri"/>
                <w:bCs/>
                <w:lang w:eastAsia="en-US"/>
              </w:rPr>
              <w:t>определить метаположение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предмет</w:t>
            </w:r>
            <w:r w:rsidR="009F6616">
              <w:rPr>
                <w:rFonts w:eastAsia="Calibri"/>
                <w:bCs/>
                <w:lang w:eastAsia="en-US"/>
              </w:rPr>
              <w:t>а</w:t>
            </w:r>
            <w:r w:rsidR="00E25A2D" w:rsidRPr="00E25A2D">
              <w:rPr>
                <w:rFonts w:eastAsia="Calibri"/>
                <w:bCs/>
                <w:lang w:eastAsia="en-US"/>
              </w:rPr>
              <w:t>, подлежащий изъятию из полезной массы сыпучего материала.</w:t>
            </w:r>
            <w:r>
              <w:rPr>
                <w:rFonts w:eastAsia="Calibri"/>
                <w:bCs/>
                <w:lang w:eastAsia="en-US"/>
              </w:rPr>
              <w:t xml:space="preserve"> Это приводит к уменьшению простоев транспортировочных конвейеров агломерационного</w:t>
            </w:r>
            <w:r w:rsidRPr="00F33451">
              <w:rPr>
                <w:rFonts w:eastAsia="Calibri"/>
                <w:bCs/>
                <w:lang w:eastAsia="en-US"/>
              </w:rPr>
              <w:t xml:space="preserve"> производства </w:t>
            </w:r>
            <w:r>
              <w:rPr>
                <w:rFonts w:eastAsia="Calibri"/>
                <w:bCs/>
                <w:lang w:eastAsia="en-US"/>
              </w:rPr>
              <w:t>и устранению причин попадания посторонних предметов в сыпучий материал.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AA0067">
        <w:tc>
          <w:tcPr>
            <w:tcW w:w="567" w:type="dxa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Ключевые 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</w:p>
        </w:tc>
        <w:tc>
          <w:tcPr>
            <w:tcW w:w="10064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AA0067">
        <w:trPr>
          <w:trHeight w:val="780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</w:tcPr>
          <w:p w:rsidR="006A78F5" w:rsidRPr="006A78F5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6A78F5" w:rsidRPr="001A53DE" w:rsidRDefault="00E25A2D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 xml:space="preserve">Программное обеспечение должно распознавать посторонние предметы в любых сыпучих материалах (приоритет – </w:t>
            </w:r>
            <w:r w:rsidR="00E5041D" w:rsidRPr="001A53DE">
              <w:rPr>
                <w:rFonts w:eastAsia="Calibri"/>
                <w:bCs/>
                <w:lang w:eastAsia="en-US"/>
              </w:rPr>
              <w:t>агломера</w:t>
            </w:r>
            <w:r w:rsidR="00774787" w:rsidRPr="001A53DE">
              <w:rPr>
                <w:rFonts w:eastAsia="Calibri"/>
                <w:bCs/>
                <w:lang w:eastAsia="en-US"/>
              </w:rPr>
              <w:t>ционная</w:t>
            </w:r>
            <w:r w:rsidR="00E5041D" w:rsidRPr="001A53DE">
              <w:rPr>
                <w:rFonts w:eastAsia="Calibri"/>
                <w:bCs/>
                <w:lang w:eastAsia="en-US"/>
              </w:rPr>
              <w:t xml:space="preserve"> </w:t>
            </w:r>
            <w:r w:rsidRPr="001A53DE">
              <w:rPr>
                <w:rFonts w:eastAsia="Calibri"/>
                <w:bCs/>
                <w:lang w:eastAsia="en-US"/>
              </w:rPr>
              <w:t xml:space="preserve">шихта) и выделять их, для </w:t>
            </w:r>
            <w:r w:rsidR="00E5041D" w:rsidRPr="001A53DE">
              <w:rPr>
                <w:rFonts w:eastAsia="Calibri"/>
                <w:bCs/>
                <w:lang w:eastAsia="en-US"/>
              </w:rPr>
              <w:t>быстрого определения</w:t>
            </w:r>
            <w:r w:rsidRPr="001A53DE">
              <w:rPr>
                <w:rFonts w:eastAsia="Calibri"/>
                <w:bCs/>
                <w:lang w:eastAsia="en-US"/>
              </w:rPr>
              <w:t xml:space="preserve"> местоположения. Анализ кадра должен осуществляться как с загруженной фотографии, так и с видеопотока (в том числе, передаваемом с </w:t>
            </w:r>
            <w:r w:rsidRPr="001A53DE">
              <w:rPr>
                <w:rFonts w:eastAsia="Calibri"/>
                <w:bCs/>
                <w:lang w:val="en-US" w:eastAsia="en-US"/>
              </w:rPr>
              <w:t>IP</w:t>
            </w:r>
            <w:r w:rsidRPr="001A53DE">
              <w:rPr>
                <w:rFonts w:eastAsia="Calibri"/>
                <w:bCs/>
                <w:lang w:eastAsia="en-US"/>
              </w:rPr>
              <w:t xml:space="preserve">-камеры). </w:t>
            </w:r>
          </w:p>
        </w:tc>
      </w:tr>
      <w:tr w:rsidR="001A53DE" w:rsidTr="00AA0067">
        <w:trPr>
          <w:trHeight w:val="780"/>
        </w:trPr>
        <w:tc>
          <w:tcPr>
            <w:tcW w:w="567" w:type="dxa"/>
          </w:tcPr>
          <w:p w:rsidR="001A53DE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9" w:type="dxa"/>
          </w:tcPr>
          <w:p w:rsidR="001A53DE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Служба безопасности </w:t>
            </w:r>
            <w:r w:rsidR="001950AA">
              <w:rPr>
                <w:rFonts w:eastAsia="Calibri"/>
                <w:bCs/>
                <w:lang w:eastAsia="en-US"/>
              </w:rPr>
              <w:t xml:space="preserve">                    </w:t>
            </w: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име</w:t>
            </w:r>
            <w:r w:rsidR="00D963ED">
              <w:rPr>
                <w:rFonts w:eastAsia="Calibri"/>
                <w:bCs/>
                <w:lang w:eastAsia="en-US"/>
              </w:rPr>
              <w:t>ть аутентификацию пользователей.</w:t>
            </w:r>
          </w:p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классифицировать найденные посторонние объекты по степени возможного нанесения ущерба транспортировочному конвейеру.</w:t>
            </w:r>
          </w:p>
          <w:p w:rsidR="001A53DE" w:rsidRPr="001A53DE" w:rsidRDefault="001A53DE" w:rsidP="00D963E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>Система должна уметь сохранять в архив все найденные объекты, а также интерфейс для его просмотра.</w:t>
            </w:r>
          </w:p>
        </w:tc>
      </w:tr>
      <w:tr w:rsidR="006A78F5" w:rsidTr="00AA0067">
        <w:trPr>
          <w:trHeight w:val="706"/>
        </w:trPr>
        <w:tc>
          <w:tcPr>
            <w:tcW w:w="567" w:type="dxa"/>
          </w:tcPr>
          <w:p w:rsidR="006A78F5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9" w:type="dxa"/>
          </w:tcPr>
          <w:p w:rsidR="006A78F5" w:rsidRPr="006A78F5" w:rsidRDefault="00D963E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Сотрудники</w:t>
            </w:r>
            <w:r w:rsidR="001A53DE">
              <w:rPr>
                <w:rFonts w:eastAsia="Calibri"/>
                <w:bCs/>
                <w:lang w:eastAsia="en-US"/>
              </w:rPr>
              <w:t xml:space="preserve"> агло</w:t>
            </w:r>
            <w:r>
              <w:rPr>
                <w:rFonts w:eastAsia="Calibri"/>
                <w:bCs/>
                <w:lang w:eastAsia="en-US"/>
              </w:rPr>
              <w:t>мерационного производства</w:t>
            </w:r>
          </w:p>
        </w:tc>
        <w:tc>
          <w:tcPr>
            <w:tcW w:w="10064" w:type="dxa"/>
          </w:tcPr>
          <w:p w:rsidR="006A78F5" w:rsidRDefault="00E25A2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Простой и понятный пользовательский интерфейс. Максимально возможная частота кадров при анализе видеопотока.</w:t>
            </w:r>
          </w:p>
          <w:p w:rsidR="008D5FCD" w:rsidRPr="008D5FCD" w:rsidRDefault="008D5FC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Возможность выгрузки полученных данных в виде отчета в </w:t>
            </w:r>
            <w:r>
              <w:rPr>
                <w:rFonts w:eastAsia="Calibri"/>
                <w:bCs/>
                <w:lang w:val="en-US" w:eastAsia="en-US"/>
              </w:rPr>
              <w:t>Word</w:t>
            </w:r>
            <w:r w:rsidRPr="008D5FCD"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Excel</w:t>
            </w:r>
            <w:r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PDF</w:t>
            </w:r>
            <w:r w:rsidRPr="008D5FCD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в виде текста и графиков.</w:t>
            </w:r>
          </w:p>
        </w:tc>
      </w:tr>
    </w:tbl>
    <w:p w:rsidR="00B33475" w:rsidRDefault="006A78F5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I</w:t>
      </w:r>
      <w:r w:rsidR="007606BC">
        <w:rPr>
          <w:rFonts w:eastAsia="Calibri"/>
          <w:b/>
          <w:bCs/>
          <w:lang w:val="en-US" w:eastAsia="en-US"/>
        </w:rPr>
        <w:t>V</w:t>
      </w:r>
      <w:r w:rsidR="00B33475" w:rsidRPr="0091371A">
        <w:rPr>
          <w:rFonts w:eastAsia="Calibri"/>
          <w:b/>
          <w:bCs/>
          <w:lang w:eastAsia="en-US"/>
        </w:rPr>
        <w:tab/>
        <w:t>План реализации проекта:</w:t>
      </w:r>
    </w:p>
    <w:p w:rsidR="00B33475" w:rsidRPr="0091371A" w:rsidRDefault="00B33475" w:rsidP="00B33475">
      <w:pPr>
        <w:ind w:firstLine="0"/>
        <w:jc w:val="left"/>
        <w:rPr>
          <w:rFonts w:eastAsia="Calibri"/>
          <w:b/>
          <w:bCs/>
          <w:lang w:eastAsia="en-US"/>
        </w:rPr>
      </w:pPr>
    </w:p>
    <w:p w:rsidR="00B33475" w:rsidRPr="00383359" w:rsidRDefault="00B33475" w:rsidP="00B33475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825"/>
        <w:gridCol w:w="1978"/>
        <w:gridCol w:w="1978"/>
        <w:gridCol w:w="2168"/>
        <w:gridCol w:w="2483"/>
        <w:gridCol w:w="2786"/>
      </w:tblGrid>
      <w:tr w:rsidR="00336BF1" w:rsidRPr="0091371A" w:rsidTr="00C93067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spacing w:before="120" w:after="120"/>
              <w:ind w:firstLine="0"/>
              <w:jc w:val="center"/>
              <w:rPr>
                <w:bCs/>
              </w:rPr>
            </w:pPr>
            <w:r w:rsidRPr="00C93067">
              <w:rPr>
                <w:bCs/>
              </w:rPr>
              <w:t>Этапы проекта /</w:t>
            </w:r>
            <w:r w:rsidRPr="00C93067">
              <w:rPr>
                <w:bCs/>
              </w:rPr>
              <w:br/>
              <w:t>конкретные мероприятия, детализирующие этапы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spacing w:before="120" w:after="120"/>
              <w:ind w:firstLine="0"/>
              <w:jc w:val="center"/>
              <w:rPr>
                <w:bCs/>
              </w:rPr>
            </w:pPr>
            <w:r w:rsidRPr="00C93067">
              <w:rPr>
                <w:bCs/>
                <w:lang w:val="en-US"/>
              </w:rPr>
              <w:t>C</w:t>
            </w:r>
            <w:r w:rsidRPr="00C93067"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spacing w:before="120" w:after="120"/>
              <w:ind w:firstLine="0"/>
              <w:jc w:val="center"/>
              <w:rPr>
                <w:bCs/>
              </w:rPr>
            </w:pPr>
            <w:r w:rsidRPr="00C93067"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spacing w:before="120" w:after="120"/>
              <w:ind w:firstLine="0"/>
              <w:jc w:val="center"/>
              <w:rPr>
                <w:bCs/>
              </w:rPr>
            </w:pPr>
            <w:r w:rsidRPr="00C93067">
              <w:rPr>
                <w:bCs/>
              </w:rPr>
              <w:t xml:space="preserve">Участники проекта (О – ответственный / </w:t>
            </w:r>
            <w:r w:rsidRPr="00C93067">
              <w:rPr>
                <w:bCs/>
              </w:rPr>
              <w:br/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spacing w:before="120" w:after="120"/>
              <w:ind w:firstLine="0"/>
              <w:jc w:val="center"/>
              <w:rPr>
                <w:bCs/>
              </w:rPr>
            </w:pPr>
            <w:r w:rsidRPr="00C93067">
              <w:rPr>
                <w:bCs/>
              </w:rPr>
              <w:t xml:space="preserve">Задействованные материально-технические </w:t>
            </w:r>
            <w:r w:rsidRPr="00C93067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spacing w:before="120" w:after="120"/>
              <w:ind w:firstLine="0"/>
              <w:jc w:val="center"/>
              <w:rPr>
                <w:bCs/>
              </w:rPr>
            </w:pPr>
            <w:r w:rsidRPr="00C93067">
              <w:rPr>
                <w:bCs/>
              </w:rPr>
              <w:t xml:space="preserve">Финансовые </w:t>
            </w:r>
            <w:r w:rsidRPr="00C93067">
              <w:rPr>
                <w:bCs/>
              </w:rPr>
              <w:br/>
              <w:t>затраты (руб.)</w:t>
            </w:r>
          </w:p>
        </w:tc>
      </w:tr>
      <w:tr w:rsidR="00336BF1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Этап 1. Подготовительный.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1C2D2B" w:rsidP="00C93067">
            <w:pPr>
              <w:ind w:firstLine="0"/>
              <w:jc w:val="center"/>
              <w:outlineLvl w:val="1"/>
              <w:rPr>
                <w:lang w:val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01.</w:t>
            </w:r>
            <w:r w:rsidRPr="00C93067">
              <w:rPr>
                <w:rFonts w:eastAsia="Calibri"/>
                <w:bCs/>
                <w:sz w:val="20"/>
                <w:szCs w:val="20"/>
                <w:lang w:val="en-US" w:eastAsia="en-US"/>
              </w:rPr>
              <w:t>10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.19-18</w:t>
            </w:r>
            <w:r w:rsidR="00336BF1" w:rsidRPr="00C93067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 w:rsidR="00055348" w:rsidRPr="00C93067">
              <w:rPr>
                <w:rFonts w:eastAsia="Calibri"/>
                <w:bCs/>
                <w:sz w:val="20"/>
                <w:szCs w:val="20"/>
                <w:lang w:eastAsia="en-US"/>
              </w:rPr>
              <w:t>0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</w:pPr>
          </w:p>
        </w:tc>
      </w:tr>
      <w:tr w:rsidR="002C695E" w:rsidRPr="0091371A" w:rsidTr="00872E61">
        <w:trPr>
          <w:cantSplit/>
          <w:trHeight w:val="133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Сбор литературы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01.10.19-07.10.19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Тематическая литература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sz w:val="20"/>
              </w:rPr>
            </w:pPr>
            <w:r w:rsidRPr="00C93067">
              <w:rPr>
                <w:sz w:val="20"/>
              </w:rPr>
              <w:t>14384</w:t>
            </w:r>
          </w:p>
        </w:tc>
      </w:tr>
      <w:tr w:rsidR="002C695E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Анализ прочитанного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08.10.19-15.10.19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sz w:val="20"/>
              </w:rPr>
            </w:pPr>
            <w:r w:rsidRPr="00C93067">
              <w:rPr>
                <w:sz w:val="20"/>
              </w:rPr>
              <w:t>16781</w:t>
            </w:r>
          </w:p>
        </w:tc>
      </w:tr>
      <w:tr w:rsidR="002C695E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1.3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Подведение итогов сбора и анализа информации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15.10.19-18.10.19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sz w:val="20"/>
              </w:rPr>
            </w:pPr>
            <w:r w:rsidRPr="00C93067">
              <w:rPr>
                <w:sz w:val="20"/>
              </w:rPr>
              <w:t>7192</w:t>
            </w:r>
          </w:p>
        </w:tc>
      </w:tr>
      <w:tr w:rsidR="00336BF1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Этап 2. Спецификация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1C2D2B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19.10.19 – 28.10.19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2C695E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требований к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19.10.19 – 23.10.19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Готовые требования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3836</w:t>
            </w:r>
          </w:p>
        </w:tc>
      </w:tr>
      <w:tr w:rsidR="002C695E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lastRenderedPageBreak/>
              <w:t>2.2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сценария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24.10.19 – 28.10.19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Готовый сценарий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3836</w:t>
            </w:r>
          </w:p>
        </w:tc>
      </w:tr>
      <w:tr w:rsidR="00336BF1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Этап 3. Создание экспериментальных вариантов.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1C2D2B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28.10.19 – 10.11.19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872E61">
            <w:pPr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‬</w:t>
            </w:r>
          </w:p>
        </w:tc>
      </w:tr>
      <w:tr w:rsidR="002C695E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Выбор методов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28.10.19 – 30.11.19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Методы и средства для разработки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47466</w:t>
            </w:r>
          </w:p>
        </w:tc>
      </w:tr>
      <w:tr w:rsidR="002C695E" w:rsidRPr="0091371A" w:rsidTr="00C93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экспериментального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20.11.19 - 30.11.19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Экспериментальный прототип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14384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3.3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Тестирование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25.11.19 – 30.11.19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7192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3.4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Защита паспорта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18.11.19 – 20.11.19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паспорта проекта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паспорта проекта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3.5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Анализ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01.12.19 – 08.12.19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10068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3.6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08.11-19 – 10.11-19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2877</w:t>
            </w:r>
          </w:p>
        </w:tc>
      </w:tr>
      <w:tr w:rsidR="00336BF1" w:rsidRPr="0091371A" w:rsidTr="00C93067">
        <w:trPr>
          <w:cantSplit/>
          <w:trHeight w:val="1072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Этап 4. Выбор и описание подхода и инструментальных средств разработки программного обеспечения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68140C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11.11.19 – 18.11.19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Подход и инструментальные средства.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21000</w:t>
            </w:r>
          </w:p>
        </w:tc>
      </w:tr>
      <w:tr w:rsidR="00336BF1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Этап 5. Тестовый вариант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A1090A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 w:rsidR="0068140C" w:rsidRPr="00C93067">
              <w:rPr>
                <w:rFonts w:eastAsia="Calibri"/>
                <w:bCs/>
                <w:sz w:val="20"/>
                <w:szCs w:val="20"/>
                <w:lang w:eastAsia="en-US"/>
              </w:rPr>
              <w:t>9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.11.19 – 11.02.20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Зинзивер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58800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5.1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19.11.19 – 31.01.20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Готовый тестовый вариант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Зинзивер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105000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5.2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Тестирование получившегося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01.01.20 – 31.01.20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тестирования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Зинзивер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43151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5.3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Анализ разработки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01.02.20 – 08.02.20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Зинзивер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10068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5.4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08.02.20 – 11.02.20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Зинзивер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4315</w:t>
            </w:r>
          </w:p>
        </w:tc>
      </w:tr>
      <w:tr w:rsidR="00336BF1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Этап 6. Разработка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110BF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12.02.20 – 18.05.20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C93067" w:rsidRDefault="00336BF1" w:rsidP="00872E61">
            <w:pPr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6.1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Доработка ПО на основе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12.02.20 – 26.02.20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Готовая нейронная сеть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33562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lastRenderedPageBreak/>
              <w:t>6.2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23.02.20 – 25.02.20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6.3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Подготовка выборки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27.02.20 – 08.03.20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Готовая выборка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23973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6.4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Получение результата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09.03.20 – 13.03.20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Готовые веса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9589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6.5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Анализ полученных весов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09.03.20 – 15.03.20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Выбор наилучших весов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14384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6.6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Демонстрация предварительных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16.03.20 – 18.03.20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Первая демонстрационная модель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4795</w:t>
            </w:r>
          </w:p>
        </w:tc>
      </w:tr>
      <w:tr w:rsidR="002C695E" w:rsidRPr="0091371A" w:rsidTr="00C93067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lastRenderedPageBreak/>
              <w:t>6.7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Создание пользовательского интерфейса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19.03.20 – 30.04.20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Пользовательский интерфейс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100685</w:t>
            </w:r>
          </w:p>
        </w:tc>
      </w:tr>
      <w:tr w:rsidR="002C695E" w:rsidRPr="0091371A" w:rsidTr="00C93067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C93067">
              <w:rPr>
                <w:rFonts w:eastAsia="Calibri"/>
                <w:bCs/>
                <w:lang w:eastAsia="en-US"/>
              </w:rPr>
              <w:t>6.8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01.05.20 – 15.05.20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Итоговый 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872E6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33562</w:t>
            </w:r>
          </w:p>
        </w:tc>
      </w:tr>
      <w:tr w:rsidR="002C695E" w:rsidRPr="0091371A" w:rsidTr="00C93067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lang w:val="en-US" w:eastAsia="en-US"/>
              </w:rPr>
            </w:pPr>
            <w:r w:rsidRPr="00C93067">
              <w:rPr>
                <w:rFonts w:eastAsia="Calibri"/>
                <w:bCs/>
                <w:lang w:val="en-US" w:eastAsia="en-US"/>
              </w:rPr>
              <w:t>6.9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Итоговая защита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16.05.20 – 18.05.20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готового проекта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Зинзивер М. С.</w:t>
            </w: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C93067"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готового проекта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C93067" w:rsidRDefault="002C695E" w:rsidP="00C93067">
            <w:pPr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B33475" w:rsidRPr="00C05DF4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C05DF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6C37A5" w:rsidRPr="00C05DF4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6C37A5" w:rsidRPr="00C05DF4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B33475" w:rsidRDefault="00B33475" w:rsidP="007606BC">
      <w:pPr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7"/>
        <w:gridCol w:w="4209"/>
        <w:gridCol w:w="7195"/>
        <w:gridCol w:w="2805"/>
      </w:tblGrid>
      <w:tr w:rsidR="00B33475" w:rsidRPr="0091371A" w:rsidTr="00B20C2C">
        <w:trPr>
          <w:tblHeader/>
        </w:trPr>
        <w:tc>
          <w:tcPr>
            <w:tcW w:w="577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195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805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Высокая</w:t>
            </w:r>
            <w:r>
              <w:rPr>
                <w:bCs/>
              </w:rPr>
              <w:t xml:space="preserve"> </w:t>
            </w:r>
            <w:r w:rsidRPr="000150CD">
              <w:rPr>
                <w:bCs/>
              </w:rPr>
              <w:t>сложность или невозможность реализации некоторых процессов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Дополнительное изучение тематики проекта. </w:t>
            </w:r>
            <w:r w:rsidRPr="000150CD">
              <w:rPr>
                <w:bCs/>
              </w:rPr>
              <w:t>Поиск альтернативного варианта программной реализации процесса.</w:t>
            </w:r>
            <w:r>
              <w:rPr>
                <w:bCs/>
              </w:rPr>
              <w:t xml:space="preserve"> 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Срыв сроков проекта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Грамотное планирование проекта, с учетом возможных непредвиденных ситуаций.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43278C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Белов А.С</w:t>
            </w:r>
            <w:r w:rsidR="00F33451" w:rsidRPr="006735D5">
              <w:rPr>
                <w:bCs/>
              </w:rPr>
              <w:t>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Нехватка ресурсов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Привлечение дополнительных ресурсов.</w:t>
            </w:r>
            <w:r>
              <w:rPr>
                <w:bCs/>
              </w:rPr>
              <w:t xml:space="preserve"> Грамотное распределение ресурсов.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43278C" w:rsidP="0043278C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Белов</w:t>
            </w:r>
            <w:r w:rsidR="00F33451" w:rsidRPr="006735D5">
              <w:rPr>
                <w:bCs/>
              </w:rPr>
              <w:t xml:space="preserve"> А.</w:t>
            </w:r>
            <w:r>
              <w:rPr>
                <w:bCs/>
              </w:rPr>
              <w:t>С</w:t>
            </w:r>
            <w:r w:rsidR="00F33451" w:rsidRPr="006735D5">
              <w:rPr>
                <w:bCs/>
              </w:rPr>
              <w:t>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Разногласия в команде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коллективных собраний, для решения проблем. Проведение коллективных мероприятий (общие сборы в кафе, ресторанах и различных культурных центрах).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Разногласия с заказчиком 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совещаний с заказчиком на разных этапах разработки. Предварительное документирование требований к проекту.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</w:tbl>
    <w:p w:rsidR="00B33475" w:rsidRPr="0091371A" w:rsidRDefault="00B33475" w:rsidP="00F33451">
      <w:pPr>
        <w:ind w:firstLine="0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Pr="0091371A" w:rsidRDefault="007606BC" w:rsidP="00B33475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VI</w:t>
      </w:r>
      <w:r w:rsidR="00B33475" w:rsidRPr="0091371A">
        <w:rPr>
          <w:rFonts w:eastAsia="Calibri"/>
          <w:b/>
          <w:bCs/>
          <w:lang w:eastAsia="en-US"/>
        </w:rPr>
        <w:tab/>
        <w:t>Бюджет проекта:</w:t>
      </w:r>
      <w:r>
        <w:rPr>
          <w:rFonts w:eastAsia="Calibri"/>
          <w:b/>
          <w:bCs/>
          <w:lang w:eastAsia="en-US"/>
        </w:rPr>
        <w:t xml:space="preserve"> </w:t>
      </w:r>
    </w:p>
    <w:tbl>
      <w:tblPr>
        <w:tblW w:w="4995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7"/>
        <w:gridCol w:w="4212"/>
        <w:gridCol w:w="1126"/>
        <w:gridCol w:w="6103"/>
        <w:gridCol w:w="2763"/>
      </w:tblGrid>
      <w:tr w:rsidR="006644BE" w:rsidRPr="0091371A" w:rsidTr="00AA0067">
        <w:trPr>
          <w:trHeight w:val="449"/>
          <w:jc w:val="center"/>
        </w:trPr>
        <w:tc>
          <w:tcPr>
            <w:tcW w:w="567" w:type="dxa"/>
            <w:vAlign w:val="center"/>
          </w:tcPr>
          <w:p w:rsidR="006644BE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2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Источник финансирования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Наименование затрат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Стоимость</w:t>
            </w:r>
            <w:r w:rsidRPr="0091371A">
              <w:rPr>
                <w:rFonts w:eastAsia="Calibri"/>
                <w:bCs/>
                <w:lang w:eastAsia="en-US"/>
              </w:rPr>
              <w:t>, руб.</w:t>
            </w:r>
          </w:p>
        </w:tc>
      </w:tr>
      <w:tr w:rsidR="00D963ED" w:rsidRPr="00D963ED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426A2D" w:rsidRDefault="00426A2D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2" w:type="dxa"/>
            <w:vAlign w:val="center"/>
          </w:tcPr>
          <w:p w:rsidR="00D963ED" w:rsidRPr="00426A2D" w:rsidRDefault="00D963ED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426A2D"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D963ED" w:rsidRDefault="00D963ED" w:rsidP="001950AA">
            <w:pPr>
              <w:ind w:firstLine="0"/>
              <w:jc w:val="left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 w:rsidRPr="00D963ED">
              <w:rPr>
                <w:rFonts w:eastAsia="Calibri"/>
                <w:lang w:val="en-US" w:eastAsia="en-US"/>
              </w:rPr>
              <w:t xml:space="preserve">: </w:t>
            </w:r>
            <w:r>
              <w:rPr>
                <w:rFonts w:eastAsia="Calibri"/>
                <w:lang w:val="en-US" w:eastAsia="en-US"/>
              </w:rPr>
              <w:t>Visual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Studio</w:t>
            </w:r>
            <w:r w:rsidRPr="00D963ED">
              <w:rPr>
                <w:rFonts w:eastAsia="Calibri"/>
                <w:lang w:val="en-US" w:eastAsia="en-US"/>
              </w:rPr>
              <w:t xml:space="preserve"> 2019 </w:t>
            </w:r>
            <w:r>
              <w:rPr>
                <w:rFonts w:eastAsia="Calibri"/>
                <w:lang w:val="en-US" w:eastAsia="en-US"/>
              </w:rPr>
              <w:t>Professional</w:t>
            </w:r>
          </w:p>
        </w:tc>
        <w:tc>
          <w:tcPr>
            <w:tcW w:w="2763" w:type="dxa"/>
            <w:vAlign w:val="center"/>
          </w:tcPr>
          <w:p w:rsidR="00D963ED" w:rsidRPr="00D963ED" w:rsidRDefault="0043278C" w:rsidP="001950A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150</w:t>
            </w:r>
            <w:r w:rsidR="00D963ED">
              <w:rPr>
                <w:rFonts w:eastAsia="Calibri"/>
              </w:rPr>
              <w:t xml:space="preserve">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2" w:type="dxa"/>
            <w:vAlign w:val="center"/>
          </w:tcPr>
          <w:p w:rsidR="00D963ED" w:rsidRPr="00E25A2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 w:eastAsia="en-US"/>
              </w:rPr>
              <w:t>IP</w:t>
            </w:r>
            <w:r>
              <w:rPr>
                <w:rFonts w:eastAsia="Calibri"/>
                <w:lang w:eastAsia="en-US"/>
              </w:rPr>
              <w:t>-камера</w:t>
            </w:r>
          </w:p>
        </w:tc>
        <w:tc>
          <w:tcPr>
            <w:tcW w:w="2763" w:type="dxa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</w:p>
        </w:tc>
        <w:tc>
          <w:tcPr>
            <w:tcW w:w="4212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BE728C" w:rsidRDefault="008176A4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Заработная плата разработчиков</w:t>
            </w:r>
          </w:p>
        </w:tc>
        <w:tc>
          <w:tcPr>
            <w:tcW w:w="2763" w:type="dxa"/>
            <w:vAlign w:val="center"/>
          </w:tcPr>
          <w:p w:rsidR="00D963ED" w:rsidRDefault="005422E7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590 900</w:t>
            </w:r>
          </w:p>
        </w:tc>
      </w:tr>
      <w:tr w:rsidR="00426A2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426A2D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</w:p>
        </w:tc>
        <w:tc>
          <w:tcPr>
            <w:tcW w:w="4212" w:type="dxa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Прочие</w:t>
            </w:r>
          </w:p>
        </w:tc>
        <w:tc>
          <w:tcPr>
            <w:tcW w:w="2763" w:type="dxa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D963ED" w:rsidRPr="0091371A" w:rsidTr="00AA0067">
        <w:trPr>
          <w:trHeight w:val="404"/>
          <w:jc w:val="center"/>
        </w:trPr>
        <w:tc>
          <w:tcPr>
            <w:tcW w:w="12008" w:type="dxa"/>
            <w:gridSpan w:val="4"/>
            <w:vAlign w:val="center"/>
          </w:tcPr>
          <w:p w:rsidR="00D963ED" w:rsidRPr="006644BE" w:rsidRDefault="00D963ED" w:rsidP="00D963ED">
            <w:pPr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6644BE">
              <w:rPr>
                <w:rFonts w:eastAsia="Calibri"/>
                <w:b/>
                <w:bCs/>
                <w:lang w:eastAsia="en-US"/>
              </w:rPr>
              <w:t>Итого по проекту</w:t>
            </w:r>
          </w:p>
        </w:tc>
        <w:tc>
          <w:tcPr>
            <w:tcW w:w="2763" w:type="dxa"/>
            <w:vAlign w:val="center"/>
          </w:tcPr>
          <w:p w:rsidR="00D963ED" w:rsidRPr="008176A4" w:rsidRDefault="005E5C5D" w:rsidP="00D963ED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760 </w:t>
            </w:r>
            <w:bookmarkStart w:id="0" w:name="_GoBack"/>
            <w:bookmarkEnd w:id="0"/>
            <w:r>
              <w:rPr>
                <w:rFonts w:eastAsia="Calibri"/>
                <w:bCs/>
                <w:lang w:eastAsia="en-US"/>
              </w:rPr>
              <w:t>900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jc w:val="center"/>
        </w:trPr>
        <w:tc>
          <w:tcPr>
            <w:tcW w:w="5905" w:type="dxa"/>
            <w:gridSpan w:val="3"/>
            <w:vAlign w:val="bottom"/>
          </w:tcPr>
          <w:p w:rsidR="00D963ED" w:rsidRPr="00D345EA" w:rsidRDefault="00D963ED" w:rsidP="00D963ED">
            <w:pPr>
              <w:spacing w:before="120" w:after="120"/>
              <w:ind w:firstLine="0"/>
              <w:jc w:val="center"/>
              <w:rPr>
                <w:rFonts w:eastAsia="Calibri"/>
                <w:vertAlign w:val="superscript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Начальник ФЭУ – главный бухгалтер</w:t>
            </w:r>
            <w:r>
              <w:rPr>
                <w:rFonts w:eastAsia="Calibri"/>
                <w:vertAlign w:val="superscript"/>
              </w:rPr>
              <w:t>*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trHeight w:val="252"/>
          <w:jc w:val="center"/>
        </w:trPr>
        <w:tc>
          <w:tcPr>
            <w:tcW w:w="5905" w:type="dxa"/>
            <w:gridSpan w:val="3"/>
          </w:tcPr>
          <w:p w:rsidR="00D963ED" w:rsidRPr="0091371A" w:rsidRDefault="00D963ED" w:rsidP="00D963ED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</w:tr>
    </w:tbl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  <w:r>
        <w:rPr>
          <w:rStyle w:val="a5"/>
        </w:rPr>
        <w:t>*</w:t>
      </w:r>
      <w:r>
        <w:t xml:space="preserve"> </w:t>
      </w:r>
      <w:r>
        <w:rPr>
          <w:color w:val="000000"/>
        </w:rPr>
        <w:t>В</w:t>
      </w:r>
      <w:r w:rsidRPr="0091371A">
        <w:rPr>
          <w:color w:val="000000"/>
        </w:rPr>
        <w:t xml:space="preserve"> случае</w:t>
      </w:r>
      <w:r>
        <w:rPr>
          <w:color w:val="000000"/>
        </w:rPr>
        <w:t xml:space="preserve"> привлечения в проект ресурсов</w:t>
      </w:r>
    </w:p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A81D1B" w:rsidRDefault="00A81D1B">
      <w:pPr>
        <w:spacing w:after="200" w:line="276" w:lineRule="auto"/>
        <w:ind w:firstLine="0"/>
        <w:jc w:val="left"/>
        <w:rPr>
          <w:bCs/>
          <w:caps/>
        </w:rPr>
      </w:pPr>
      <w:r>
        <w:rPr>
          <w:bCs/>
          <w:caps/>
        </w:rPr>
        <w:br w:type="page"/>
      </w: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lastRenderedPageBreak/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заказчик 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944"/>
        <w:gridCol w:w="4308"/>
        <w:gridCol w:w="2824"/>
        <w:gridCol w:w="3710"/>
      </w:tblGrid>
      <w:tr w:rsidR="00E732F9" w:rsidRPr="00D345EA" w:rsidTr="00E732F9">
        <w:trPr>
          <w:trHeight w:val="252"/>
          <w:jc w:val="center"/>
        </w:trPr>
        <w:tc>
          <w:tcPr>
            <w:tcW w:w="3944" w:type="dxa"/>
            <w:tcBorders>
              <w:bottom w:val="single" w:sz="4" w:space="0" w:color="auto"/>
            </w:tcBorders>
          </w:tcPr>
          <w:p w:rsidR="00E732F9" w:rsidRPr="00D345E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4308" w:type="dxa"/>
            <w:tcBorders>
              <w:bottom w:val="single" w:sz="4" w:space="0" w:color="auto"/>
            </w:tcBorders>
          </w:tcPr>
          <w:p w:rsidR="00E732F9" w:rsidRPr="00D345EA" w:rsidRDefault="00E732F9" w:rsidP="00E732F9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Менеджер-навигатор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</w:tcPr>
          <w:p w:rsidR="00E732F9" w:rsidRPr="00D345E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710" w:type="dxa"/>
            <w:tcBorders>
              <w:bottom w:val="single" w:sz="4" w:space="0" w:color="auto"/>
            </w:tcBorders>
            <w:shd w:val="clear" w:color="auto" w:fill="auto"/>
          </w:tcPr>
          <w:p w:rsidR="00E732F9" w:rsidRPr="00D345E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E732F9">
              <w:rPr>
                <w:rFonts w:eastAsia="Calibri"/>
                <w:bCs/>
                <w:lang w:eastAsia="en-US"/>
              </w:rPr>
              <w:t>Левичев И.П.</w:t>
            </w:r>
          </w:p>
        </w:tc>
      </w:tr>
      <w:tr w:rsidR="00E732F9" w:rsidRPr="00D345EA" w:rsidTr="00E732F9">
        <w:trPr>
          <w:trHeight w:val="252"/>
          <w:jc w:val="center"/>
        </w:trPr>
        <w:tc>
          <w:tcPr>
            <w:tcW w:w="3944" w:type="dxa"/>
            <w:tcBorders>
              <w:top w:val="single" w:sz="4" w:space="0" w:color="auto"/>
            </w:tcBorders>
          </w:tcPr>
          <w:p w:rsidR="00E732F9" w:rsidRPr="00D345E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организация</w:t>
            </w:r>
          </w:p>
        </w:tc>
        <w:tc>
          <w:tcPr>
            <w:tcW w:w="4308" w:type="dxa"/>
            <w:tcBorders>
              <w:top w:val="single" w:sz="4" w:space="0" w:color="auto"/>
            </w:tcBorders>
          </w:tcPr>
          <w:p w:rsidR="00E732F9" w:rsidRPr="00D345EA" w:rsidRDefault="00E732F9" w:rsidP="00E732F9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</w:tcPr>
          <w:p w:rsidR="00E732F9" w:rsidRPr="00D345E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3710" w:type="dxa"/>
            <w:tcBorders>
              <w:top w:val="single" w:sz="4" w:space="0" w:color="auto"/>
            </w:tcBorders>
            <w:shd w:val="clear" w:color="auto" w:fill="auto"/>
          </w:tcPr>
          <w:p w:rsidR="00E732F9" w:rsidRPr="00D345E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E732F9" w:rsidRDefault="00E732F9" w:rsidP="00E732F9">
      <w:pPr>
        <w:ind w:firstLine="0"/>
        <w:rPr>
          <w:bCs/>
          <w:caps/>
        </w:rPr>
      </w:pPr>
    </w:p>
    <w:p w:rsidR="00E732F9" w:rsidRDefault="00E732F9" w:rsidP="00E732F9">
      <w:pPr>
        <w:ind w:firstLine="0"/>
        <w:rPr>
          <w:bCs/>
          <w:caps/>
        </w:rPr>
      </w:pPr>
    </w:p>
    <w:p w:rsidR="00E732F9" w:rsidRDefault="00E732F9" w:rsidP="00E732F9">
      <w:pPr>
        <w:ind w:firstLine="0"/>
        <w:rPr>
          <w:bCs/>
          <w:caps/>
        </w:rPr>
      </w:pPr>
    </w:p>
    <w:p w:rsidR="00E732F9" w:rsidRDefault="00E732F9" w:rsidP="00E732F9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руководитель проектного обучения</w:t>
      </w:r>
      <w:r w:rsidRPr="00E22EBA">
        <w:rPr>
          <w:bCs/>
          <w:i/>
        </w:rPr>
        <w:t>)</w:t>
      </w:r>
    </w:p>
    <w:p w:rsidR="00E732F9" w:rsidRDefault="00E732F9" w:rsidP="00E732F9">
      <w:pPr>
        <w:ind w:firstLine="0"/>
        <w:rPr>
          <w:bCs/>
          <w:i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944"/>
        <w:gridCol w:w="4308"/>
        <w:gridCol w:w="2824"/>
        <w:gridCol w:w="3710"/>
      </w:tblGrid>
      <w:tr w:rsidR="00E732F9" w:rsidRPr="00D345EA" w:rsidTr="00E732F9">
        <w:trPr>
          <w:trHeight w:val="951"/>
          <w:jc w:val="center"/>
        </w:trPr>
        <w:tc>
          <w:tcPr>
            <w:tcW w:w="3944" w:type="dxa"/>
            <w:tcBorders>
              <w:bottom w:val="single" w:sz="4" w:space="0" w:color="auto"/>
            </w:tcBorders>
            <w:vAlign w:val="bottom"/>
          </w:tcPr>
          <w:p w:rsidR="00E732F9" w:rsidRPr="00D345EA" w:rsidRDefault="00E732F9" w:rsidP="00E732F9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ФГБОУ ВО </w:t>
            </w:r>
            <w:r w:rsidRPr="00F33451">
              <w:rPr>
                <w:rFonts w:eastAsia="Calibri"/>
                <w:bCs/>
                <w:lang w:eastAsia="en-US"/>
              </w:rPr>
              <w:t>Череповецкий государственный университет, Институт информационных технологий</w:t>
            </w:r>
          </w:p>
        </w:tc>
        <w:tc>
          <w:tcPr>
            <w:tcW w:w="4308" w:type="dxa"/>
            <w:tcBorders>
              <w:bottom w:val="single" w:sz="4" w:space="0" w:color="auto"/>
            </w:tcBorders>
            <w:vAlign w:val="bottom"/>
          </w:tcPr>
          <w:p w:rsidR="00E732F9" w:rsidRPr="00D345EA" w:rsidRDefault="00E732F9" w:rsidP="00E732F9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</w:t>
            </w:r>
            <w:r w:rsidRPr="00F33451">
              <w:rPr>
                <w:rFonts w:eastAsia="Calibri"/>
                <w:bCs/>
                <w:lang w:eastAsia="en-US"/>
              </w:rPr>
              <w:t>рофессор технических наук, директор института / заведующий кафедрой ЭМПО ЭВМ</w:t>
            </w:r>
          </w:p>
        </w:tc>
        <w:tc>
          <w:tcPr>
            <w:tcW w:w="282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732F9" w:rsidRPr="00D345EA" w:rsidRDefault="00E732F9" w:rsidP="00E732F9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7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732F9" w:rsidRPr="00D345EA" w:rsidRDefault="00E732F9" w:rsidP="00E732F9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Ершов Е.В.</w:t>
            </w:r>
          </w:p>
        </w:tc>
      </w:tr>
      <w:tr w:rsidR="00E732F9" w:rsidRPr="00D345EA" w:rsidTr="00E732F9">
        <w:trPr>
          <w:trHeight w:val="252"/>
          <w:jc w:val="center"/>
        </w:trPr>
        <w:tc>
          <w:tcPr>
            <w:tcW w:w="3944" w:type="dxa"/>
            <w:tcBorders>
              <w:top w:val="single" w:sz="4" w:space="0" w:color="auto"/>
            </w:tcBorders>
          </w:tcPr>
          <w:p w:rsidR="00E732F9" w:rsidRPr="00D345EA" w:rsidRDefault="00E732F9" w:rsidP="008F6BDC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организация</w:t>
            </w:r>
          </w:p>
        </w:tc>
        <w:tc>
          <w:tcPr>
            <w:tcW w:w="4308" w:type="dxa"/>
            <w:tcBorders>
              <w:top w:val="single" w:sz="4" w:space="0" w:color="auto"/>
            </w:tcBorders>
          </w:tcPr>
          <w:p w:rsidR="00E732F9" w:rsidRPr="00D345EA" w:rsidRDefault="00E732F9" w:rsidP="008F6BDC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824" w:type="dxa"/>
            <w:tcBorders>
              <w:top w:val="single" w:sz="4" w:space="0" w:color="auto"/>
            </w:tcBorders>
            <w:shd w:val="clear" w:color="auto" w:fill="auto"/>
          </w:tcPr>
          <w:p w:rsidR="00E732F9" w:rsidRPr="00D345EA" w:rsidRDefault="00E732F9" w:rsidP="008F6BDC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3710" w:type="dxa"/>
            <w:tcBorders>
              <w:top w:val="single" w:sz="4" w:space="0" w:color="auto"/>
            </w:tcBorders>
            <w:shd w:val="clear" w:color="auto" w:fill="auto"/>
          </w:tcPr>
          <w:p w:rsidR="00E732F9" w:rsidRPr="00D345EA" w:rsidRDefault="00E732F9" w:rsidP="008F6BDC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880"/>
        <w:gridCol w:w="4448"/>
        <w:gridCol w:w="2792"/>
        <w:gridCol w:w="3666"/>
      </w:tblGrid>
      <w:tr w:rsidR="00E732F9" w:rsidRPr="0091371A" w:rsidTr="001A226D">
        <w:trPr>
          <w:jc w:val="center"/>
        </w:trPr>
        <w:tc>
          <w:tcPr>
            <w:tcW w:w="3880" w:type="dxa"/>
            <w:tcBorders>
              <w:bottom w:val="single" w:sz="4" w:space="0" w:color="auto"/>
            </w:tcBorders>
            <w:vAlign w:val="bottom"/>
          </w:tcPr>
          <w:p w:rsidR="00E732F9" w:rsidRDefault="00E732F9" w:rsidP="00E732F9">
            <w:pPr>
              <w:ind w:firstLine="0"/>
              <w:jc w:val="center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</w:tc>
        <w:tc>
          <w:tcPr>
            <w:tcW w:w="4448" w:type="dxa"/>
            <w:tcBorders>
              <w:bottom w:val="single" w:sz="4" w:space="0" w:color="auto"/>
            </w:tcBorders>
          </w:tcPr>
          <w:p w:rsidR="00E732F9" w:rsidRDefault="00E732F9" w:rsidP="00E732F9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E732F9" w:rsidRDefault="00E732F9" w:rsidP="00E732F9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E732F9" w:rsidRDefault="00E732F9" w:rsidP="00E732F9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E732F9" w:rsidRPr="0091371A" w:rsidRDefault="001A226D" w:rsidP="001A226D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</w:t>
            </w:r>
            <w:r w:rsidRPr="00F33451">
              <w:rPr>
                <w:rFonts w:eastAsia="Calibri"/>
                <w:bCs/>
                <w:lang w:eastAsia="en-US"/>
              </w:rPr>
              <w:t>рофессор технических наук, директор института / заведующий кафедрой ЭМПО ЭВМ</w:t>
            </w:r>
          </w:p>
        </w:tc>
        <w:tc>
          <w:tcPr>
            <w:tcW w:w="2792" w:type="dxa"/>
            <w:tcBorders>
              <w:bottom w:val="single" w:sz="4" w:space="0" w:color="auto"/>
            </w:tcBorders>
            <w:shd w:val="clear" w:color="auto" w:fill="auto"/>
          </w:tcPr>
          <w:p w:rsidR="00E732F9" w:rsidRPr="0091371A" w:rsidRDefault="00E732F9" w:rsidP="001950AA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36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732F9" w:rsidRPr="0091371A" w:rsidRDefault="001A226D" w:rsidP="001A226D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Ершов Е.В.</w:t>
            </w:r>
          </w:p>
        </w:tc>
      </w:tr>
      <w:tr w:rsidR="00E732F9" w:rsidRPr="0091371A" w:rsidTr="00E732F9">
        <w:trPr>
          <w:trHeight w:val="252"/>
          <w:jc w:val="center"/>
        </w:trPr>
        <w:tc>
          <w:tcPr>
            <w:tcW w:w="3880" w:type="dxa"/>
            <w:tcBorders>
              <w:top w:val="single" w:sz="4" w:space="0" w:color="auto"/>
            </w:tcBorders>
          </w:tcPr>
          <w:p w:rsidR="00E732F9" w:rsidRPr="0091371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448" w:type="dxa"/>
            <w:tcBorders>
              <w:top w:val="single" w:sz="4" w:space="0" w:color="auto"/>
            </w:tcBorders>
          </w:tcPr>
          <w:p w:rsidR="00E732F9" w:rsidRPr="0091371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  <w:p w:rsidR="00E732F9" w:rsidRPr="0091371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E732F9" w:rsidRPr="0091371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792" w:type="dxa"/>
            <w:tcBorders>
              <w:top w:val="single" w:sz="4" w:space="0" w:color="auto"/>
            </w:tcBorders>
            <w:shd w:val="clear" w:color="auto" w:fill="auto"/>
          </w:tcPr>
          <w:p w:rsidR="00E732F9" w:rsidRPr="0091371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3666" w:type="dxa"/>
            <w:tcBorders>
              <w:top w:val="single" w:sz="4" w:space="0" w:color="auto"/>
            </w:tcBorders>
            <w:shd w:val="clear" w:color="auto" w:fill="auto"/>
          </w:tcPr>
          <w:p w:rsidR="00E732F9" w:rsidRPr="0091371A" w:rsidRDefault="00E732F9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A81D1B" w:rsidRPr="00E732F9" w:rsidRDefault="00E732F9">
      <w:pPr>
        <w:spacing w:after="200" w:line="276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t>«__</w:t>
      </w:r>
      <w:r w:rsidR="00D2075C">
        <w:rPr>
          <w:rFonts w:eastAsia="Calibri"/>
          <w:lang w:eastAsia="en-US"/>
        </w:rPr>
        <w:t>_</w:t>
      </w:r>
      <w:r>
        <w:rPr>
          <w:rFonts w:eastAsia="Calibri"/>
          <w:lang w:eastAsia="en-US"/>
        </w:rPr>
        <w:t>_» ____</w:t>
      </w:r>
      <w:r w:rsidR="00D2075C">
        <w:rPr>
          <w:rFonts w:eastAsia="Calibri"/>
          <w:lang w:eastAsia="en-US"/>
        </w:rPr>
        <w:t>_________</w:t>
      </w:r>
      <w:r>
        <w:rPr>
          <w:rFonts w:eastAsia="Calibri"/>
          <w:lang w:eastAsia="en-US"/>
        </w:rPr>
        <w:t xml:space="preserve">_____ 20 </w:t>
      </w:r>
      <w:r w:rsidR="00D2075C">
        <w:rPr>
          <w:rFonts w:eastAsia="Calibri"/>
          <w:lang w:eastAsia="en-US"/>
        </w:rPr>
        <w:t>_</w:t>
      </w:r>
      <w:r>
        <w:rPr>
          <w:rFonts w:eastAsia="Calibri"/>
          <w:lang w:eastAsia="en-US"/>
        </w:rPr>
        <w:t>__ г.</w:t>
      </w:r>
    </w:p>
    <w:p w:rsidR="00D2075C" w:rsidRDefault="00D2075C" w:rsidP="005C79C4">
      <w:pPr>
        <w:ind w:firstLine="0"/>
        <w:jc w:val="right"/>
        <w:rPr>
          <w:rFonts w:eastAsia="Calibri"/>
          <w:lang w:eastAsia="en-US"/>
        </w:rPr>
      </w:pPr>
    </w:p>
    <w:p w:rsidR="00D2075C" w:rsidRDefault="00D2075C" w:rsidP="005C79C4">
      <w:pPr>
        <w:ind w:firstLine="0"/>
        <w:jc w:val="right"/>
        <w:rPr>
          <w:rFonts w:eastAsia="Calibri"/>
          <w:lang w:eastAsia="en-US"/>
        </w:rPr>
      </w:pP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t>Приложение 1</w:t>
      </w:r>
    </w:p>
    <w:p w:rsidR="00A81D1B" w:rsidRDefault="005C79C4" w:rsidP="00A81D1B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Диаграмма Ганта</w:t>
      </w:r>
    </w:p>
    <w:p w:rsidR="005E5C5D" w:rsidRDefault="005E5C5D" w:rsidP="005E5C5D">
      <w:pPr>
        <w:ind w:firstLine="0"/>
        <w:rPr>
          <w:rFonts w:eastAsia="Calibri"/>
          <w:b/>
          <w:bCs/>
          <w:lang w:eastAsia="en-US"/>
        </w:rPr>
      </w:pPr>
    </w:p>
    <w:tbl>
      <w:tblPr>
        <w:tblW w:w="4946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1462"/>
        <w:gridCol w:w="1462"/>
        <w:gridCol w:w="1462"/>
        <w:gridCol w:w="1463"/>
        <w:gridCol w:w="1463"/>
        <w:gridCol w:w="1463"/>
        <w:gridCol w:w="1463"/>
        <w:gridCol w:w="1463"/>
        <w:gridCol w:w="1463"/>
      </w:tblGrid>
      <w:tr w:rsidR="005E5C5D" w:rsidRPr="004A500D" w:rsidTr="005E5C5D">
        <w:trPr>
          <w:cantSplit/>
          <w:trHeight w:val="314"/>
          <w:jc w:val="center"/>
        </w:trPr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</w:rPr>
            </w:pPr>
            <w:r>
              <w:rPr>
                <w:rFonts w:eastAsia="Calibri"/>
                <w:bCs/>
                <w:sz w:val="20"/>
                <w:szCs w:val="20"/>
              </w:rPr>
              <w:t>Месяц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10.19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11.19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12.19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01.20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02.20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03.20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04.20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05.20</w:t>
            </w:r>
          </w:p>
        </w:tc>
      </w:tr>
      <w:tr w:rsidR="005E5C5D" w:rsidRPr="004A500D" w:rsidTr="005E5C5D">
        <w:trPr>
          <w:cantSplit/>
          <w:trHeight w:val="314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5E5C5D">
              <w:rPr>
                <w:rFonts w:eastAsia="Calibri"/>
                <w:bCs/>
              </w:rPr>
              <w:t>Этап 1</w:t>
            </w:r>
            <w:r>
              <w:rPr>
                <w:rFonts w:eastAsia="Calibri"/>
                <w:bCs/>
              </w:rPr>
              <w:t>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8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4A500D">
              <w:rPr>
                <w:rFonts w:eastAsia="Calibri"/>
                <w:bCs/>
              </w:rPr>
              <w:t>1.1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color w:val="0070C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color w:val="0070C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80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4A500D">
              <w:rPr>
                <w:rFonts w:eastAsia="Calibri"/>
                <w:bCs/>
              </w:rPr>
              <w:t>1.2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color w:val="0070C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color w:val="0070C0"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1.3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5E5C5D">
              <w:rPr>
                <w:rFonts w:eastAsia="Calibri"/>
                <w:bCs/>
              </w:rPr>
              <w:t>Этап 2.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4A500D">
              <w:rPr>
                <w:rFonts w:eastAsia="Calibri"/>
                <w:bCs/>
              </w:rPr>
              <w:t>2.1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4A500D">
              <w:rPr>
                <w:rFonts w:eastAsia="Calibri"/>
                <w:bCs/>
              </w:rPr>
              <w:t>2.2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5E5C5D">
              <w:rPr>
                <w:rFonts w:eastAsia="Calibri"/>
                <w:bCs/>
              </w:rPr>
              <w:t>Этап 3.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4A500D">
              <w:rPr>
                <w:rFonts w:eastAsia="Calibri"/>
                <w:bCs/>
              </w:rPr>
              <w:t>3.1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4A500D">
              <w:rPr>
                <w:rFonts w:eastAsia="Calibri"/>
                <w:bCs/>
              </w:rPr>
              <w:t>3.2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3.3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3.4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3.5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3.6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5E5C5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5E5C5D">
              <w:rPr>
                <w:rFonts w:eastAsia="Calibri"/>
                <w:bCs/>
              </w:rPr>
              <w:t>Этап 4.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5E5C5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5E5C5D">
              <w:rPr>
                <w:rFonts w:eastAsia="Calibri"/>
                <w:bCs/>
              </w:rPr>
              <w:t>Этап 5.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5.1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5.2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5.3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5.4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5E5C5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 w:rsidRPr="005E5C5D">
              <w:rPr>
                <w:rFonts w:eastAsia="Calibri"/>
                <w:bCs/>
              </w:rPr>
              <w:t>Этап 6.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6.1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6.2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6.3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6.4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6.5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6.6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6.7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6.8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  <w:tr w:rsidR="005E5C5D" w:rsidRPr="004A500D" w:rsidTr="005E5C5D">
        <w:trPr>
          <w:cantSplit/>
          <w:trHeight w:val="297"/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Default="005E5C5D" w:rsidP="005E5C5D">
            <w:pPr>
              <w:ind w:firstLine="0"/>
              <w:jc w:val="center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6.9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</w:tr>
    </w:tbl>
    <w:p w:rsidR="005E5C5D" w:rsidRDefault="005E5C5D" w:rsidP="005E5C5D">
      <w:pPr>
        <w:ind w:firstLine="0"/>
        <w:rPr>
          <w:rFonts w:eastAsia="Calibri"/>
          <w:b/>
          <w:bCs/>
          <w:lang w:eastAsia="en-US"/>
        </w:rPr>
      </w:pPr>
    </w:p>
    <w:p w:rsidR="005C79C4" w:rsidRDefault="005C79C4" w:rsidP="005E5C5D">
      <w:pPr>
        <w:ind w:firstLine="0"/>
        <w:rPr>
          <w:color w:val="000000"/>
          <w:sz w:val="20"/>
          <w:szCs w:val="20"/>
          <w:u w:val="single"/>
        </w:rPr>
      </w:pPr>
    </w:p>
    <w:p w:rsidR="00A81D1B" w:rsidRDefault="00A81D1B" w:rsidP="00A81D1B">
      <w:pPr>
        <w:ind w:firstLine="0"/>
        <w:jc w:val="center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Диаграмма Ганта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"/>
        <w:gridCol w:w="7394"/>
      </w:tblGrid>
      <w:tr w:rsidR="005E5C5D" w:rsidRPr="0091371A" w:rsidTr="005E5C5D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  <w:vAlign w:val="center"/>
          </w:tcPr>
          <w:p w:rsidR="005E5C5D" w:rsidRPr="004A500D" w:rsidRDefault="005E5C5D" w:rsidP="005E5C5D">
            <w:pPr>
              <w:ind w:firstLine="0"/>
              <w:jc w:val="left"/>
              <w:rPr>
                <w:rFonts w:eastAsia="Calibri"/>
                <w:bCs/>
                <w:sz w:val="20"/>
                <w:szCs w:val="20"/>
              </w:rPr>
            </w:pPr>
          </w:p>
        </w:tc>
        <w:tc>
          <w:tcPr>
            <w:tcW w:w="7394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E5C5D" w:rsidRPr="0091371A" w:rsidRDefault="005E5C5D" w:rsidP="005E5C5D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1950AA">
      <w:headerReference w:type="default" r:id="rId8"/>
      <w:footerReference w:type="default" r:id="rId9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B7E" w:rsidRDefault="00817B7E">
      <w:r>
        <w:separator/>
      </w:r>
    </w:p>
  </w:endnote>
  <w:endnote w:type="continuationSeparator" w:id="0">
    <w:p w:rsidR="00817B7E" w:rsidRDefault="00817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927CB" w:rsidRDefault="008927C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C5D">
          <w:rPr>
            <w:noProof/>
          </w:rPr>
          <w:t>11</w:t>
        </w:r>
        <w:r>
          <w:fldChar w:fldCharType="end"/>
        </w:r>
      </w:p>
    </w:sdtContent>
  </w:sdt>
  <w:p w:rsidR="008927CB" w:rsidRDefault="008927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B7E" w:rsidRDefault="00817B7E">
      <w:r>
        <w:separator/>
      </w:r>
    </w:p>
  </w:footnote>
  <w:footnote w:type="continuationSeparator" w:id="0">
    <w:p w:rsidR="00817B7E" w:rsidRDefault="00817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7CB" w:rsidRPr="0079244B" w:rsidRDefault="008927CB" w:rsidP="001950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8927CB" w:rsidTr="001950AA">
      <w:trPr>
        <w:trHeight w:val="970"/>
        <w:jc w:val="center"/>
      </w:trPr>
      <w:tc>
        <w:tcPr>
          <w:tcW w:w="9638" w:type="dxa"/>
        </w:tcPr>
        <w:p w:rsidR="008927CB" w:rsidRDefault="008927CB" w:rsidP="001950AA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8927CB" w:rsidRDefault="008927CB" w:rsidP="001950AA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8927CB" w:rsidRDefault="008927CB" w:rsidP="001950AA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8927CB" w:rsidRDefault="008927CB" w:rsidP="001950AA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8927CB" w:rsidRDefault="008927CB" w:rsidP="00195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D02280"/>
    <w:multiLevelType w:val="hybridMultilevel"/>
    <w:tmpl w:val="701E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72A8C"/>
    <w:multiLevelType w:val="hybridMultilevel"/>
    <w:tmpl w:val="D9DC6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3DC5"/>
    <w:multiLevelType w:val="hybridMultilevel"/>
    <w:tmpl w:val="CF22F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103E1"/>
    <w:rsid w:val="00045312"/>
    <w:rsid w:val="00055348"/>
    <w:rsid w:val="000D7239"/>
    <w:rsid w:val="000F6220"/>
    <w:rsid w:val="00120D2A"/>
    <w:rsid w:val="0012239C"/>
    <w:rsid w:val="00126C95"/>
    <w:rsid w:val="001378DA"/>
    <w:rsid w:val="00140624"/>
    <w:rsid w:val="001734CF"/>
    <w:rsid w:val="00190C50"/>
    <w:rsid w:val="001950AA"/>
    <w:rsid w:val="001A226D"/>
    <w:rsid w:val="001A53DE"/>
    <w:rsid w:val="001B7E70"/>
    <w:rsid w:val="001C2D2B"/>
    <w:rsid w:val="001C5181"/>
    <w:rsid w:val="001E6058"/>
    <w:rsid w:val="00230E6E"/>
    <w:rsid w:val="0023708F"/>
    <w:rsid w:val="00242867"/>
    <w:rsid w:val="00250548"/>
    <w:rsid w:val="00270443"/>
    <w:rsid w:val="002C388A"/>
    <w:rsid w:val="002C695E"/>
    <w:rsid w:val="003110BF"/>
    <w:rsid w:val="003336E4"/>
    <w:rsid w:val="00336BF1"/>
    <w:rsid w:val="00370CAB"/>
    <w:rsid w:val="003742F5"/>
    <w:rsid w:val="003A0684"/>
    <w:rsid w:val="003B555C"/>
    <w:rsid w:val="0041140D"/>
    <w:rsid w:val="00426A2D"/>
    <w:rsid w:val="0043278C"/>
    <w:rsid w:val="00477B75"/>
    <w:rsid w:val="004A3E9D"/>
    <w:rsid w:val="005103E2"/>
    <w:rsid w:val="005422E7"/>
    <w:rsid w:val="00572AE5"/>
    <w:rsid w:val="00596D53"/>
    <w:rsid w:val="005C79C4"/>
    <w:rsid w:val="005E5C5D"/>
    <w:rsid w:val="0060387D"/>
    <w:rsid w:val="00630B5F"/>
    <w:rsid w:val="00651DF2"/>
    <w:rsid w:val="006644BE"/>
    <w:rsid w:val="006760BE"/>
    <w:rsid w:val="0068140C"/>
    <w:rsid w:val="00683A5D"/>
    <w:rsid w:val="00692322"/>
    <w:rsid w:val="006A78F5"/>
    <w:rsid w:val="006C37A5"/>
    <w:rsid w:val="006D1BEF"/>
    <w:rsid w:val="00727249"/>
    <w:rsid w:val="0073464B"/>
    <w:rsid w:val="00757200"/>
    <w:rsid w:val="007606BC"/>
    <w:rsid w:val="00774787"/>
    <w:rsid w:val="007C1036"/>
    <w:rsid w:val="007C450C"/>
    <w:rsid w:val="007D00B1"/>
    <w:rsid w:val="008058E5"/>
    <w:rsid w:val="008176A4"/>
    <w:rsid w:val="00817B7E"/>
    <w:rsid w:val="008529C1"/>
    <w:rsid w:val="00870858"/>
    <w:rsid w:val="00872E61"/>
    <w:rsid w:val="0088423D"/>
    <w:rsid w:val="008927CB"/>
    <w:rsid w:val="008B6105"/>
    <w:rsid w:val="008C10A9"/>
    <w:rsid w:val="008D5FCD"/>
    <w:rsid w:val="008F44CD"/>
    <w:rsid w:val="00904952"/>
    <w:rsid w:val="009065C9"/>
    <w:rsid w:val="00907D10"/>
    <w:rsid w:val="00917A91"/>
    <w:rsid w:val="00946F62"/>
    <w:rsid w:val="009721A8"/>
    <w:rsid w:val="00977307"/>
    <w:rsid w:val="0098268F"/>
    <w:rsid w:val="009A320D"/>
    <w:rsid w:val="009F0DB5"/>
    <w:rsid w:val="009F6616"/>
    <w:rsid w:val="00A0350A"/>
    <w:rsid w:val="00A1090A"/>
    <w:rsid w:val="00A20C1F"/>
    <w:rsid w:val="00A60B2B"/>
    <w:rsid w:val="00A74366"/>
    <w:rsid w:val="00A81D1B"/>
    <w:rsid w:val="00A82DFD"/>
    <w:rsid w:val="00A97CB5"/>
    <w:rsid w:val="00AA0067"/>
    <w:rsid w:val="00B20C2C"/>
    <w:rsid w:val="00B33475"/>
    <w:rsid w:val="00B55F3E"/>
    <w:rsid w:val="00B730F5"/>
    <w:rsid w:val="00B806BB"/>
    <w:rsid w:val="00B86694"/>
    <w:rsid w:val="00BE728C"/>
    <w:rsid w:val="00C05DF4"/>
    <w:rsid w:val="00C3336B"/>
    <w:rsid w:val="00C34F68"/>
    <w:rsid w:val="00C604D9"/>
    <w:rsid w:val="00C93067"/>
    <w:rsid w:val="00CC1FE0"/>
    <w:rsid w:val="00CF7666"/>
    <w:rsid w:val="00D2075C"/>
    <w:rsid w:val="00D21D68"/>
    <w:rsid w:val="00D27672"/>
    <w:rsid w:val="00D456DB"/>
    <w:rsid w:val="00D50771"/>
    <w:rsid w:val="00D963ED"/>
    <w:rsid w:val="00DA2BF9"/>
    <w:rsid w:val="00E25A2D"/>
    <w:rsid w:val="00E5041D"/>
    <w:rsid w:val="00E5217C"/>
    <w:rsid w:val="00E5655F"/>
    <w:rsid w:val="00E732F9"/>
    <w:rsid w:val="00E963B1"/>
    <w:rsid w:val="00EA179A"/>
    <w:rsid w:val="00EF60B5"/>
    <w:rsid w:val="00F028E6"/>
    <w:rsid w:val="00F07D07"/>
    <w:rsid w:val="00F33451"/>
    <w:rsid w:val="00FA14BA"/>
    <w:rsid w:val="00FB4A9E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4514"/>
  <w15:docId w15:val="{D383BE23-189F-46D2-BD4A-E2197D6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0387D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semiHidden/>
    <w:unhideWhenUsed/>
    <w:rsid w:val="0060387D"/>
    <w:rPr>
      <w:color w:val="0000FF"/>
      <w:u w:val="single"/>
    </w:rPr>
  </w:style>
  <w:style w:type="character" w:styleId="af">
    <w:name w:val="Emphasis"/>
    <w:basedOn w:val="a0"/>
    <w:uiPriority w:val="20"/>
    <w:qFormat/>
    <w:rsid w:val="0060387D"/>
    <w:rPr>
      <w:i/>
      <w:iCs/>
    </w:rPr>
  </w:style>
  <w:style w:type="character" w:styleId="af0">
    <w:name w:val="Strong"/>
    <w:basedOn w:val="a0"/>
    <w:uiPriority w:val="22"/>
    <w:qFormat/>
    <w:rsid w:val="0060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95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632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251B-9CCF-421B-9F83-8AD70C47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14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Белов</cp:lastModifiedBy>
  <cp:revision>81</cp:revision>
  <cp:lastPrinted>2019-09-10T08:45:00Z</cp:lastPrinted>
  <dcterms:created xsi:type="dcterms:W3CDTF">2018-12-20T16:37:00Z</dcterms:created>
  <dcterms:modified xsi:type="dcterms:W3CDTF">2019-11-17T17:48:00Z</dcterms:modified>
</cp:coreProperties>
</file>