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4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(Fig 1)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.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bookmarkStart w:id="26" w:name="fig:sub"/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 1.</w:t>
      </w:r>
      <w:r>
        <w:t xml:space="preserve"> </w:t>
      </w:r>
      <w:r>
        <w:rPr>
          <w:bCs/>
          <w:b/>
        </w:rPr>
        <w:t xml:space="preserve">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 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bookmarkStart w:id="30" w:name="fig:sam"/>
      <w:r>
        <w:drawing>
          <wp:inline>
            <wp:extent cx="5715000" cy="1987213"/>
            <wp:effectExtent b="0" l="0" r="0" t="0"/>
            <wp:docPr descr="Fig 2. Plos-one tempalte position. Detail position of plos-one template." title="" id="28" name="Picture"/>
            <a:graphic>
              <a:graphicData uri="http://schemas.openxmlformats.org/drawingml/2006/picture">
                <pic:pic>
                  <pic:nvPicPr>
                    <pic:cNvPr descr=".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 2.</w:t>
      </w:r>
      <w:r>
        <w:t xml:space="preserve"> </w:t>
      </w:r>
      <w:r>
        <w:rPr>
          <w:bCs/>
          <w:b/>
        </w:rPr>
        <w:t xml:space="preserve">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 2), and</w:t>
      </w:r>
      <w:r>
        <w:t xml:space="preserve"> </w:t>
      </w:r>
      <w:r>
        <w:t xml:space="preserve">if you want to cite multiple figures, you can suppress prefix and write like</w:t>
      </w:r>
      <w:r>
        <w:t xml:space="preserve"> </w:t>
      </w:r>
      <w:r>
        <w:t xml:space="preserve">Figs 1 and 2. The original sentencies are as follows.</w:t>
      </w:r>
    </w:p>
    <w:bookmarkStart w:id="31" w:name="eq:id1"/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bookmarkEnd w:id="31"/>
    <w:p>
      <w:pPr>
        <w:pStyle w:val="FirstParagraph"/>
      </w:pPr>
      <w:r>
        <w:t xml:space="preserve">From the equation (Eq. 1).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3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32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2"/>
    <w:bookmarkEnd w:id="33"/>
    <w:bookmarkEnd w:id="34"/>
    <w:bookmarkStart w:id="36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bookmarkStart w:id="35" w:name="tbl:1"/>
    <w:p>
      <w:pPr>
        <w:pStyle w:val="TableCaption"/>
      </w:pPr>
      <w:r>
        <w:t xml:space="preserve">Table 1. This is the Table 1 Title. This is the Table 1 legend.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This is the Table 1 Title. This is the Table 1 legend.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bookmarkEnd w:id="35"/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p>
      <w:pPr>
        <w:pStyle w:val="a0"/>
      </w:pPr>
      <w:r>
        <w:t xml:space="preserve">See Table 1</w:t>
      </w:r>
    </w:p>
    <w:bookmarkEnd w:id="36"/>
    <w:bookmarkStart w:id="37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 </w:t>
      </w:r>
      <w:r>
        <w:t xml:space="preserve">(for multiple citation</w:t>
      </w:r>
      <w:r>
        <w:t xml:space="preserve"> </w:t>
      </w:r>
      <w:r>
        <w:t xml:space="preserve">[1,2]</w:t>
      </w:r>
      <w:r>
        <w:t xml:space="preserve">).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7"/>
    <w:bookmarkStart w:id="38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8"/>
    <w:bookmarkStart w:id="44" w:name="references"/>
    <w:p>
      <w:pPr>
        <w:pStyle w:val="1"/>
      </w:pPr>
      <w:r>
        <w:t xml:space="preserve">References</w:t>
      </w:r>
    </w:p>
    <w:bookmarkStart w:id="43" w:name="refs"/>
    <w:bookmarkStart w:id="40" w:name="ref-yehParachute2018"/>
    <w:p>
      <w:pPr>
        <w:pStyle w:val="a8"/>
      </w:pPr>
      <w:r>
        <w:t xml:space="preserve">1.</w:t>
      </w:r>
      <w:r>
        <w:t xml:space="preserve"> </w:t>
      </w:r>
      <w:r>
        <w:t xml:space="preserve">	</w:t>
      </w:r>
      <w:r>
        <w:t xml:space="preserve">Yeh RW, Valsdottir LR, Yeh MW, Shen C, Kramer DB, Strom JB, et al. Parachute use to prevent death and major trauma when jumping from aircraft: Randomized controlled trial. BMJ. 2018; k5094. doi:</w:t>
      </w:r>
      <w:hyperlink r:id="rId39">
        <w:r>
          <w:rPr>
            <w:rStyle w:val="ae"/>
          </w:rPr>
          <w:t xml:space="preserve">10.1136/bmj.k5094</w:t>
        </w:r>
      </w:hyperlink>
    </w:p>
    <w:bookmarkEnd w:id="40"/>
    <w:bookmarkStart w:id="42" w:name="ref-wynderTOBACCO1950"/>
    <w:p>
      <w:pPr>
        <w:pStyle w:val="a8"/>
      </w:pPr>
      <w:r>
        <w:t xml:space="preserve">2.</w:t>
      </w:r>
      <w:r>
        <w:t xml:space="preserve"> </w:t>
      </w:r>
      <w:r>
        <w:t xml:space="preserve">	</w:t>
      </w:r>
      <w:r>
        <w:t xml:space="preserve">Wynder EL.</w:t>
      </w:r>
      <w:r>
        <w:t xml:space="preserve"> </w:t>
      </w:r>
      <w:r>
        <w:t xml:space="preserve">TOBACCO SMOKING AS A POSSIBLE ETIOLOGIC FACTOR IN BRONCHIOGENIC CARCINOMA</w:t>
      </w:r>
      <w:r>
        <w:t xml:space="preserve">:</w:t>
      </w:r>
      <w:r>
        <w:t xml:space="preserve"> </w:t>
      </w:r>
      <w:r>
        <w:t xml:space="preserve">A Study</w:t>
      </w:r>
      <w:r>
        <w:t xml:space="preserve"> </w:t>
      </w:r>
      <w:r>
        <w:t xml:space="preserve">of</w:t>
      </w:r>
      <w:r>
        <w:t xml:space="preserve"> </w:t>
      </w:r>
      <w:r>
        <w:t xml:space="preserve">Six Hundred</w:t>
      </w:r>
      <w:r>
        <w:t xml:space="preserve"> </w:t>
      </w:r>
      <w:r>
        <w:t xml:space="preserve">and</w:t>
      </w:r>
      <w:r>
        <w:t xml:space="preserve"> </w:t>
      </w:r>
      <w:r>
        <w:t xml:space="preserve">Eighty-Four Proved Cases</w:t>
      </w:r>
      <w:r>
        <w:t xml:space="preserve">. JAMA. 1950;143: 329. doi:</w:t>
      </w:r>
      <w:hyperlink r:id="rId41">
        <w:r>
          <w:rPr>
            <w:rStyle w:val="ae"/>
          </w:rPr>
          <w:t xml:space="preserve">10.1001/jama.1950.02910390001001</w:t>
        </w:r>
      </w:hyperlink>
    </w:p>
    <w:bookmarkEnd w:id="42"/>
    <w:bookmarkEnd w:id="43"/>
    <w:bookmarkEnd w:id="44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A0A221A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CF6C21F0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026C270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EF3EC0B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877E93B4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C846DD04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04EDB4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0CADE9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EB0D8E2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AD1489F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97CE9"/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1/jama.1950.02910390001001" TargetMode="External" /><Relationship Type="http://schemas.openxmlformats.org/officeDocument/2006/relationships/hyperlink" Id="rId39" Target="https://doi.org/10.1136/bmj.k50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2022-05-05T18:02:09Z</dcterms:created>
  <dcterms:modified xsi:type="dcterms:W3CDTF">2022-05-05T18:02:09Z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plos-one.csl</vt:lpwstr>
  </property>
  <property fmtid="{D5CDD505-2E9C-101B-9397-08002B2CF9AE}" pid="15" name="eqLabels">
    <vt:lpwstr>arabic</vt:lpwstr>
  </property>
  <property fmtid="{D5CDD505-2E9C-101B-9397-08002B2CF9AE}" pid="16" name="eqnPrefix">
    <vt:lpwstr>Eq.</vt:lpwstr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ustache">
    <vt:lpwstr>./variables.yaml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True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>Table</vt:lpwstr>
  </property>
  <property fmtid="{D5CDD505-2E9C-101B-9397-08002B2CF9AE}" pid="58" name="tblPrefixTemplate">
    <vt:lpwstr>p i</vt:lpwstr>
  </property>
  <property fmtid="{D5CDD505-2E9C-101B-9397-08002B2CF9AE}" pid="59" name="titleDelim">
    <vt:lpwstr>.</vt:lpwstr>
  </property>
</Properties>
</file>