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Documento de Diseño de Arquitectura - React TMDb API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documento describe la arquitectura del sistema de la aplicación React que consume la API de TMDb, cubriendo tanto aspectos funcionales como no funcionales.</w:t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Requerimientos Funcionales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Listado de películas.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Visualización de portada y calificación.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Navegación entre categorías.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tl w:val="0"/>
        </w:rPr>
        <w:t xml:space="preserve">Con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autenticación.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Compatibilidad con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MDb API.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Requerimientos No Funcionales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Alta compatibilidad con navegadores modernos.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Tiempo de respuesta óptimo.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Manejo de errores.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Uso de React.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Implementación de caché.</w:t>
      </w:r>
    </w:p>
    <w:p w:rsidR="00000000" w:rsidDel="00000000" w:rsidP="00000000" w:rsidRDefault="00000000" w:rsidRPr="00000000" w14:paraId="00000010">
      <w:pPr>
        <w:pStyle w:val="Heading1"/>
        <w:rPr/>
      </w:pPr>
      <w:r w:rsidDel="00000000" w:rsidR="00000000" w:rsidRPr="00000000">
        <w:rPr>
          <w:rtl w:val="0"/>
        </w:rPr>
        <w:t xml:space="preserve">Representación Gráfica de los Diagramas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114300" distR="114300">
            <wp:extent cx="5486400" cy="822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eBjhbp97/5VQOAe7dj2bHjHeVg==">CgMxLjA4AHIhMW91VURDMFFwUXV4Y1JnWFRXU0F6Y0VXek5rQ0JJYzZ0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