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препарат: Бозутиниб, доза 400 mg, форма tablet.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препарат: Бозулиф, доза 400 mg.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Статус закупки референтного препарата: статус закупки неизвестен. Детали партии/регистрации не финализируются как фактически закупленные.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 (минимум по расчёту: 7.395833333333333 day).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Цель: оценить биоэквивалентность тестового и референтного препаратов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7a69ee3e-dc0e-427f-9df3-fc631ce84acc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Исследование проводится по дизайну открытого рандомизированного перекрёстного исследования 2×2 с 2 периодами и последовательностями: T–R; R–T.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T и R. Условие пищи: после приёма пищи.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План отбора проб крови включает 33 точек на период. Финальная точка наблюдения: 72.0 h.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BLOOD_SAMPLING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63F668C3" w14:textId="77777777" w:rsidR="00D35CE7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8E6D83C" w14:textId="77777777" w:rsidR="005529AA" w:rsidRPr="00A24781" w:rsidRDefault="005529AA" w:rsidP="005529AA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ind w:left="720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Лечение включает введение T и R.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госпитализация / процедуры приёма препарата, отбор крови (33 точек на период), наблюдение.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Период отмывки (washout): 14.0 day (минимум по расчёту: 7.395833333333333 day).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госпитализация / процедуры приёма препарата, отбор крови (33 точек на период), наблюдение.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Подготовка образцов крови для PK выполняется по SOP лаборатории (объём на пробу: 5.0 мл).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Референтный и тестовый препараты вводятся после приёма пищи (высококалорийный завтрак).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Требования к контрацепции применяются к субъектам детородного потенциала согласно критериям включения.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точкам отбора крови (33 на период) в течение 72.0 h.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Биоаналитическое определение: bosutinib. Метод: {BIOANALYSIS.METHOD}.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Метод: {BIOANALYSIS.METHOD}.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Валидация биоаналитического метода должна быть завершена до анализа образцов исследования. 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Анализ образцов выполняется сериями (analytical runs) в соответствии с валидированным методом.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Критерии приёмки/отклонения аналитических серий задаются SOP лаборатории и валидационным отчётом. 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Безопасность оценивается по данным физического осмотра, жизненных показателей, лабораторных исследований и регистрации нежелательных явлений на протяжении исследования.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Параметры безопасности оцениваются на скрининге, в периоды исследования и при завершении согласно расписанию процедур.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Физикальное обследование выполняется на скрининге и по расписанию безопасности.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Жизненные показатели регистрируются согласно расписанию; критерии отклонений — в таблице протокола.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Лабораторные параметры скрининга/безопасности: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Регистрация и сообщение о нежелательных явлениях выполняются по стандартным процедурам GCP/протокола.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Наблюдение за НЯ продолжается до разрешения или стабилизации по решению исследователя.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Случаи беременности подлежат немедленному сообщению и наблюдению по форме протокола.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2026-09-06T06:18:14Z</dcterms:modified>
</cp:coreProperties>
</file>