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c0b82ae9-36ef-4771-a74a-9bc7f4a8cd2a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анализ биоэквивалентности выполняется на логарифмически преобразованных PK-параметрах с использованием ANOVA для дизайна (перекрёстный 2×2). Критерий BE: 90% ДИ отношения средних в пределах 80.00–125.00%.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Расчётный размер выборки: оцениваемых субъектов N=32, рандомизированных N=36 (dropout 10.0%). Использованный CVintra=30.0% для параметра Cmax.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α=0.05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Критерии досрочного прекращения исследования определяются протоколом и решением спонсора/исследователя; промежуточный анализ — при наличии в дизайне.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Отсутствующие, не подлежащие анализу и фальсифицированные данные учитываются согласно статистическому плану; решения документируются.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Любые отклонения от первоначального статистического плана оформляются и обосновываются до анализа.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Популяции безопасности и рандомизированных субъектов описываются отдельно.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Дисперсионный анализ (ANOVA) выполняется для логарифмически преобразованных PK-параметров в рамках дизайна (перекрёстный 2×2).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Описательная статистика включает n, среднее, SD, CV%, медиану, мин/макс для концентраций и PK-параметров.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Дисперсионный анализ (ANOVA) выполняется для логарифмически преобразованных PK-параметров в рамках дизайна (перекрёстный 2×2).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80.00% ≤ 90% CI (T/R) ≤ 125.00%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Исключение резко выделяющихся наблюдений выполняется по заранее определённым правилам и документируется.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Анализ безопасности носит описательный характер и выполняется на всех подвергшихся воздействию субъектов.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04DA91C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16E5AB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запросу монитора, аудитора, экспертного совета организации (ЭСО)/Совет по этике, Спонсора или уполномоченного органа исследователь должен обеспечить прямой доступ ко всем записям, относящимся к исследованию. Файл исследователя должен содержать полную информацию об исследовании, с указанием всех событий и времени, в которое они происходили. 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F75F15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65C5781" w14:textId="77777777" w:rsidR="00FF6AAC" w:rsidRPr="00A24781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3500861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024FB5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Все аспекты Протокола исследования должны соблюдаться в ходе проведения клинического исследования. Если изменения необходимы, они должны безотлагательно обсуждаться исследователем, монитором и Спонсором. Поправки к протоколу исследования должны быть сделаны в письменной форме и содержать подробное обоснование изменений. Поправки должны быть представлены в ЭСО/Совет по этике. Каждое отклонение от протокола исследования должно быть документировано и обосновано исследователем (или лицом, назначенным исследователем) на соответствующей странице ИРК. Все другие лица, вовлеченные в процесс клинического исследования, будут проинструктированы исследователем или монитором относительно их задач. Ответственность за это несет исследователь. </w:t>
      </w:r>
    </w:p>
    <w:p w14:paraId="55CA3FE5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4B021C9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Мониторинг и аудит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B0EC17E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021B7F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Целью мониторинга является проверка того, что: права и благополучие добровольцев защищены; представленные данные являются точными, полными и подтверждаются первичной документацией; исследование проводится в соответствии с утвержденной текущей версией протокола/поправок, GCP и нормативными требованиями Спонсор имеет этические, юридические и научные обязательства следить за проведением исследования, в соответствии с предписаниями протокола, стандартными операционными процедурами, нормами Надлежащей клинической практики (GCP) и нормативным требованиям. </w:t>
      </w:r>
    </w:p>
    <w:p w14:paraId="589A891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обязанности монитора входит проверка в начале и на протяжении всего исследования адекватности квалификации и ресурсов исследователя, а также достаточность для безопасного и надлежащего проведения исследования имеющихся людских и материальных ресурсов, включая лаборатории, оборудование и персонал. </w:t>
      </w:r>
    </w:p>
    <w:p w14:paraId="3B8A30F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отношении исследуемых продуктов монитор должен проверить следующее: сроки и условия хранения приемлемы и достаточны до конца исследования; исследуемые продукты получают только те добровольцы, которым он назначен, и в дозах, установленных протоколом; добровольцам предоставлены необходимые инструкции по правильному применению исследуемых продуктов; получение, применение и возврат исследуемых продуктов в исследовательском центре должным образом контролируют и оформляют документально; проверяет соблюдение исследователем утвержденного протокола и всех утвержденных поправок к нему, если таковые имеются; проверяет, чтобы письменное информированное согласие каждого добровольца было получено до начала участия в исследовании; обеспечивает наличие у исследователя текущей редакции брошюры исследователя, всех других документов и материалов, необходимых для проведения исследования надлежащим образом и в соответствии с нормативными требованиями; обеспечивает достаточную информированность исследователя и его сотрудников о самом исследовании; проверяет соблюдение исследователем критериев отбора при включении добровольцев в исследование; сообщает о скорости набора добровольцев в исследование; проверяет правильность, полноту и своевременность регистрации данных в первичных и других, относящихся к исследованию документах, а также порядок их ведения; проверяет правильность и полноту данных в ИРК, первичных документах и других относящихся к исследованию записях путем сопоставления их между собой. В особенности монитор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должен проверить следующее: правильность внесения требуемых протоколом данных в ИРК и их соответствие данным в первичной документации, регистрация НЯ в ИРК в соответствии с протоколом, регистрацию пропущенных добровольцем визитов, </w:t>
      </w:r>
      <w:proofErr w:type="spellStart"/>
      <w:r w:rsidR="00D360B4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непроведенных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анализов и невыполненных обследований, которые должны быть ясно отражены в ИРК. </w:t>
      </w:r>
    </w:p>
    <w:p w14:paraId="3F85460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случаи исключения и выбывания добровольцев из исследования зарегистрированы и объяснены в ИРК; монитор сообщает исследователю о любых допущенных в ИРК ошибках, пропусках и неразборчивых записях. </w:t>
      </w:r>
    </w:p>
    <w:p w14:paraId="76DB58C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 должен проследить за тем, чтобы соответствующие исправления, добавления или вычеркивания были сделаны, датированы, объяснены и подписаны самим исследователем либо уполномоченным на подписание за него изменений в ИРК членом исследовательского коллектива. </w:t>
      </w:r>
    </w:p>
    <w:p w14:paraId="57E9778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полномочия должны быть закреплены документально; проверяет соблюдение сроков сообщения о НЯ, определенных протоколом; сообщает исследователю об отклонениях от протокола, стандартных операционных процедур (СОП), GCP и нормативных требований, а также предпринимает необходимые действия с целью предотвратить повторение подобных отклонений. </w:t>
      </w:r>
    </w:p>
    <w:p w14:paraId="329C2AF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После каждого визита в исследовательский центр или связанного с исследованием контакта монитор предоставляет Спонсору письменный отчет, который включает в себя дату, наименование центра, имя монитора, имя исследователя или иного лица, с которым состоялся контакт. Отчет должен содержать краткое описание объектов проверки, сообщение монитора о существенных данных/фактах, отклонениях и недостатках, выводы,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описание действий, предпринятых либо планируемых и/или рекомендуемых для обеспечения соблюдений протокола, GCP и уполномоченных органов. </w:t>
      </w:r>
    </w:p>
    <w:p w14:paraId="2C2968A0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Проверка Спонсором отчета и последующие действия по нему должны быть документально оформлены уполномоченным представителем Спонсора. Спонсор (или его представитель) может проводить аудиторскую проверку в исследовательском центре. Целью спонсорского аудита, проводимого отдельно и независимо от рутинных функций по мониторингу и контролю качества, является оценка соответствия проводимого исследования протоколу, СОП, GCP и нормативным требованиям. </w:t>
      </w:r>
    </w:p>
    <w:p w14:paraId="4B9F979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 будет включать (но не ограничиваться) контроль за использованием препаратов, предоставленных для исследования, проверку наличия необходимых документов, проверку процедуры подписи информационного листка добровольца, и проверку правильности заполнения ИРК добровольцев. Исследователь участвует в проведение аудита в согласованное с ним время. </w:t>
      </w:r>
    </w:p>
    <w:p w14:paraId="44886BE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Представители регуляторных органов также могут проводить проверку в ходе исследования или в любое время после его завершения. В случае такой проверки, исследователь должен немедленно связаться со Спонсором и содействовать проверяющим. Исследователь согласен с тем, что монитор или внешний аудитор, назначенный Спонсором, будут лично контролировать корректное проведение и документирование исследования в ходе запланированных визитов. С этой целью будет проводиться сравнение данных, внесенных в ИРК, с данными медицинских карт, и т.д. 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581C0420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D7327D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Данное клиническое исследование проводится в соответствии с законодательством ЕАЭС (Правила проведения исследований биоэквивалентности лекарственных препаратов в рамках Евразийского союза», Решение Совета ЕЭК от 03.11.2016 №85, с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имз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.), РФ (Федеральный закон Российской Федерации №61 «Об обращении лекарственных средств» от 12 апреля 2010 года) и этическими принципами Хельсинской Декларации (Бразилия, 2013 г.). Данный протокол клинического исследования будет подан в Совет по Этике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государственные регуляторные органы до начала проведения исследования. Добровольцы, являющиеся потенциальными участниками исследований, будут проинформированы о характере клинических исследований, исследуемом препарате, а также о возможном риске, связанном с приемом препарата. Каждому добровольцу предоставляется письменная информация о проводимом исследовании, содержащаяся в «Информационном листке добровольца, участвующего в оценке биоэквивалентности лекарственного средства». Все добровольцы, включаемые в исследование, должны датировать и подписать собственноручно «Информированное согласие добровольца на участие в оценке биоэквивалентности лекарственного средства». Один экземпляр остается у добровольца вместе с «Информационным листком добровольца, участвующего в оценке биоэквивалентности лекарственного средства». Второй экземпляр остается у исследователя. </w:t>
      </w:r>
    </w:p>
    <w:p w14:paraId="6BB8D0B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1DEB56B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86AD6F7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Вся документация, связанная с исследованием, а также информация, касающаяся добровольцев, принимающих в нем участие, является строго конфиденциальной. В отчете и документах исследования будут использованы только инициалы и идентификационные номера добровольцев, принимающих участие в исследовании. Все данные обследования вносятся в ИРК черной или синей шариковой ручкой. Исправления, вносимые в ИРК добровольца, не должны закрывать первоначальную запись для сохранения документального следа (исправления допускаются зачеркиванием первичной записи одной чертой), должны датироваться и подписываться исследователем. Исследователь, непосредственно проводящий исследование, ведет лист учета, хранения и выдачи исследуемого препарата. Все записи и документы, касающиеся клинического исследования, в том числе Информационные листки, списки добровольцев, хранятся в исследовательском центре в течение 15 лет после окончания исследования. Заполненные, датированные и подписанные ИРК хранятся в файле Спонсора, копии ИРК хранятся в файле исследовательского центра. </w:t>
      </w:r>
    </w:p>
    <w:p w14:paraId="65C5A0D0" w14:textId="77777777" w:rsidR="00896B61" w:rsidRPr="00C944D2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 xml:space="preserve">Составление финального отчета по клиническому исследованию производится исследовательской командой и Спонсором/Уполномоченным юридическим лицом в соответствии со стандартными операционными процедурами и с соблюдением требований </w:t>
      </w:r>
      <w:r w:rsidR="00C944D2" w:rsidRPr="00C944D2">
        <w:t>законодательства</w:t>
      </w:r>
      <w:r w:rsidRPr="00C944D2">
        <w:t>.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CC743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bookmarkEnd w:id="278"/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23C6DA40" w14:textId="77777777" w:rsidR="00872D8E" w:rsidRPr="005C5571" w:rsidRDefault="00872D8E" w:rsidP="005C5571">
      <w:pPr>
        <w:rPr>
          <w:rFonts w:eastAsia="Times New Roman"/>
          <w:u w:color="000000"/>
        </w:rPr>
      </w:pPr>
      <w:r w:rsidRPr="005C5571">
        <w:rPr>
          <w:rFonts w:eastAsia="Times New Roman"/>
          <w:szCs w:val="28"/>
          <w:u w:color="000000"/>
        </w:rPr>
        <w:t xml:space="preserve">Приложение 1. </w:t>
      </w:r>
      <w:r w:rsidRPr="005C5571">
        <w:rPr>
          <w:rFonts w:eastAsia="Times New Roman"/>
          <w:u w:color="000000"/>
        </w:rPr>
        <w:t>Сообщение о серьезной непредвиденной нежелательной реакции</w:t>
      </w:r>
    </w:p>
    <w:p w14:paraId="1EAF7E00" w14:textId="77777777" w:rsidR="00872D8E" w:rsidRPr="005C5571" w:rsidRDefault="00872D8E" w:rsidP="005C5571">
      <w:pPr>
        <w:rPr>
          <w:rFonts w:eastAsia="Calibri"/>
          <w:sz w:val="22"/>
          <w:lang w:bidi="ru-RU"/>
        </w:rPr>
      </w:pPr>
      <w:r w:rsidRPr="005C5571">
        <w:rPr>
          <w:rFonts w:eastAsia="Calibri"/>
          <w:sz w:val="22"/>
          <w:lang w:bidi="ru-RU"/>
        </w:rPr>
        <w:t>Сообщение о серьезной непредвиденной нежелательной реакции на лекарственный препарат, изучающийся в клиническом исследовании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p w14:paraId="7E5A061B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Информация о нежелательной реакции</w:t>
      </w:r>
    </w:p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p w14:paraId="70157008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Информация о подозреваемом лекарственном препарате (препаратах)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p w14:paraId="7726270E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Сопутствующая лекарственная терапия и анамнез</w:t>
      </w:r>
    </w:p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p w14:paraId="3E22EC7B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Иная информация</w:t>
      </w:r>
    </w:p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p w14:paraId="3F227D61" w14:textId="77777777" w:rsidR="00872D8E" w:rsidRPr="002C05D4" w:rsidRDefault="00872D8E" w:rsidP="00872D8E">
      <w:pPr>
        <w:spacing w:after="160" w:line="276" w:lineRule="auto"/>
        <w:rPr>
          <w:rFonts w:eastAsia="Calibri" w:cs="Times New Roman"/>
          <w:kern w:val="0"/>
          <w:lang w:eastAsia="en-US"/>
        </w:rPr>
      </w:pPr>
    </w:p>
    <w:p w14:paraId="2930C1E4" w14:textId="77777777" w:rsidR="00872D8E" w:rsidRPr="002C05D4" w:rsidRDefault="00872D8E" w:rsidP="00872D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8AFE86" w14:textId="77777777" w:rsidR="00872D8E" w:rsidRPr="002C05D4" w:rsidRDefault="00872D8E" w:rsidP="00872D8E">
      <w:pP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45534B72" w14:textId="77777777" w:rsidR="00872D8E" w:rsidRPr="005C4C67" w:rsidRDefault="00872D8E" w:rsidP="005C5571">
      <w:pPr>
        <w:rPr>
          <w:rFonts w:eastAsia="Times New Roman"/>
          <w:u w:color="000000"/>
        </w:rPr>
      </w:pPr>
      <w:r w:rsidRPr="005C4C67">
        <w:rPr>
          <w:rFonts w:eastAsia="Times New Roman"/>
          <w:u w:color="000000"/>
        </w:rPr>
        <w:lastRenderedPageBreak/>
        <w:t>Приложение 2. Форма регистрации НЯ</w:t>
      </w:r>
    </w:p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p w14:paraId="41925CCB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p w14:paraId="135FFD0A" w14:textId="77777777" w:rsidR="00872D8E" w:rsidRPr="002C05D4" w:rsidRDefault="00872D8E" w:rsidP="00872D8E">
      <w:pPr>
        <w:spacing w:line="276" w:lineRule="auto"/>
        <w:jc w:val="righ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p w14:paraId="37B9D620" w14:textId="77777777" w:rsidR="005C5571" w:rsidRDefault="005C5571" w:rsidP="005C5571">
      <w:pPr>
        <w:rPr>
          <w:rFonts w:eastAsia="Times New Roman"/>
          <w:u w:color="000000"/>
        </w:rPr>
      </w:pPr>
    </w:p>
    <w:p w14:paraId="13122E28" w14:textId="27A31DC5" w:rsidR="00872D8E" w:rsidRDefault="00872D8E" w:rsidP="005C5571">
      <w:pPr>
        <w:rPr>
          <w:rFonts w:eastAsia="Times New Roman"/>
          <w:u w:color="000000"/>
        </w:rPr>
      </w:pPr>
      <w:r w:rsidRPr="005C4C67">
        <w:rPr>
          <w:rFonts w:eastAsia="Times New Roman"/>
          <w:u w:color="000000"/>
        </w:rPr>
        <w:t xml:space="preserve">Приложение </w:t>
      </w:r>
      <w:r>
        <w:rPr>
          <w:rFonts w:eastAsia="Times New Roman"/>
          <w:u w:color="000000"/>
        </w:rPr>
        <w:t>3</w:t>
      </w:r>
      <w:r w:rsidRPr="005C4C67">
        <w:rPr>
          <w:rFonts w:eastAsia="Times New Roman"/>
          <w:u w:color="000000"/>
        </w:rPr>
        <w:t xml:space="preserve">. Форма регистрации </w:t>
      </w:r>
      <w:r>
        <w:rPr>
          <w:rFonts w:eastAsia="Times New Roman"/>
          <w:u w:color="000000"/>
        </w:rPr>
        <w:t>С</w:t>
      </w:r>
      <w:r w:rsidRPr="005C4C67">
        <w:rPr>
          <w:rFonts w:eastAsia="Times New Roman"/>
          <w:u w:color="000000"/>
        </w:rPr>
        <w:t>НЯ</w:t>
      </w:r>
    </w:p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p w14:paraId="1811E8F2" w14:textId="77777777" w:rsidR="00872D8E" w:rsidRDefault="00872D8E" w:rsidP="00872D8E">
      <w:pPr>
        <w:jc w:val="left"/>
        <w:rPr>
          <w:rFonts w:eastAsia="Times New Roman" w:cs="Times New Roman"/>
          <w:b/>
          <w:bCs/>
          <w:kern w:val="0"/>
          <w:szCs w:val="28"/>
          <w:u w:color="000000"/>
        </w:rPr>
      </w:pPr>
      <w:r>
        <w:rPr>
          <w:rFonts w:eastAsia="Times New Roman" w:cs="Times New Roman"/>
          <w:b/>
          <w:bCs/>
          <w:kern w:val="0"/>
          <w:szCs w:val="28"/>
          <w:u w:color="000000"/>
        </w:rPr>
        <w:br w:type="page"/>
      </w:r>
    </w:p>
    <w:p w14:paraId="02225B6B" w14:textId="77777777" w:rsidR="00872D8E" w:rsidRPr="005C4C67" w:rsidRDefault="00872D8E" w:rsidP="005C2DA6">
      <w:pPr>
        <w:rPr>
          <w:rFonts w:eastAsia="Times New Roman" w:cs="Times New Roman"/>
          <w:kern w:val="0"/>
          <w:szCs w:val="28"/>
          <w:u w:color="000000"/>
        </w:rPr>
      </w:pPr>
      <w:r w:rsidRPr="005C4C67">
        <w:rPr>
          <w:rFonts w:eastAsia="Times New Roman" w:cs="Times New Roman"/>
          <w:kern w:val="0"/>
          <w:szCs w:val="28"/>
          <w:u w:color="000000"/>
        </w:rPr>
        <w:lastRenderedPageBreak/>
        <w:t xml:space="preserve">Приложение </w:t>
      </w:r>
      <w:r>
        <w:rPr>
          <w:rFonts w:eastAsia="Times New Roman" w:cs="Times New Roman"/>
          <w:kern w:val="0"/>
          <w:szCs w:val="28"/>
          <w:u w:color="000000"/>
        </w:rPr>
        <w:t>4</w:t>
      </w:r>
      <w:r w:rsidRPr="005C4C67">
        <w:rPr>
          <w:rFonts w:eastAsia="Times New Roman" w:cs="Times New Roman"/>
          <w:kern w:val="0"/>
          <w:szCs w:val="28"/>
          <w:u w:color="000000"/>
        </w:rPr>
        <w:t xml:space="preserve">. Форма сообщения о беременности </w:t>
      </w:r>
      <w:r w:rsidRPr="00F073DA">
        <w:rPr>
          <w:highlight w:val="cyan"/>
        </w:rPr>
        <w:t xml:space="preserve">участницы клинического исследования или </w:t>
      </w:r>
      <w:r w:rsidRPr="00D90AC8">
        <w:rPr>
          <w:i/>
          <w:iCs/>
          <w:color w:val="FF0000"/>
          <w:highlight w:val="yellow"/>
        </w:rPr>
        <w:t>(удалить, если участвуют только субъекты мужского пола)</w:t>
      </w:r>
      <w:r w:rsidRPr="00757699">
        <w:rPr>
          <w:color w:val="FF0000"/>
          <w:highlight w:val="yellow"/>
        </w:rPr>
        <w:t xml:space="preserve"> </w:t>
      </w:r>
      <w:r w:rsidRPr="00F073DA">
        <w:t>партнерши участника исследования</w:t>
      </w: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0CA439AC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p w14:paraId="21455DC5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 w:rsidRPr="002C05D4">
        <w:rPr>
          <w:rFonts w:eastAsia="Calibri" w:cs="Times New Roman"/>
          <w:kern w:val="0"/>
          <w:szCs w:val="24"/>
          <w:lang w:eastAsia="en-US"/>
        </w:rPr>
        <w:br w:type="page"/>
      </w: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662AC282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6B6C2D46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• инструкция по медицинскому применению (SmPC) —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2026-09-06T09:41:43Z</dcterms:modified>
</cp:coreProperties>
</file>