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4d04dc80-5c29-4845-8f6a-ea9dd45ee0b0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[REVIEW REQUIRED] Предложенное окно рвоты: 2 × Tmax (Tmax=6.0, окно=12.0 ч). Правило CRIT-05 — PROPOSED, не verified policy.</w:t>
      </w: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2B4E3382" w14:textId="77777777" w:rsidR="00A24781" w:rsidRPr="00A24781" w:rsidRDefault="00A24781" w:rsidP="00A8183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психические, физические и прочие причины, не позволяющие адекватно оценивать свое поведение и правильно выполнять условия протокола исследования. 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Тестовый препарат: Бозутиниб; доза: 400 mg; форма: tablet. Референтный препарат: Бозулиф. Число периодов: 2. Последовательности: [['T', 'R'], ['R', 'T']].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1. 10. Screening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2. 20. Hospitalization /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3. 30. Dosing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4. 40. Hospitalization /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5. 50. Dosing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6. 60.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7. 70.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8. 80.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9. 90.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10. 100.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11. 110.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12. 120.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13. 130.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14. 140.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15. 150.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16. 160.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17. 170.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18. 180.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19. 190.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20. 200.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21. 210.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22. 220.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23. 230.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24. 240.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25. 250.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26. 260.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27. 270.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28. 280.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29. 290.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30. 300.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31. 310.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32. 320.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33. 330.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34. 340.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35. 350.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36. 360.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37. 370.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38. 380.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39. 390.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40. 400.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41. 410.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42. 420.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43. 430.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44. 440.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45. 450.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46. 460.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47. 470.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48. 480.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49. 490.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50. 500.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51. 510.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52. 520.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53. 530.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54. 540.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55. 550.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56. 560.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57. 570.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58. 580.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59. 590.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60. 600.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61. 610.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62. 620.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63. 630.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64. 640.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65. 650.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66. 660.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67. 670.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68. 680.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69. 690.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70. 700.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71. 710.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72. 720.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73. 730.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74. 740.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75. 750.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76. 760. Washout interval (14.0 day)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77. 770. Final / end-of-study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p w14:paraId="0E4838F3" w14:textId="5F93BFD4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33108A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3BD85B8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До начала исследования субъектам предоставляется Информационный листок добровольца с формой информированного согласия для ознакомления, который можно забрать с собой чтобы посоветоват</w:t>
      </w:r>
      <w:r>
        <w:rPr>
          <w:rFonts w:eastAsia="Times New Roman" w:cs="Times New Roman"/>
          <w:szCs w:val="24"/>
        </w:rPr>
        <w:t>ься с друзьями, родственниками.</w:t>
      </w:r>
    </w:p>
    <w:p w14:paraId="18BF833E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 xml:space="preserve"> предупреждают о необходимости на протяжении всего исследования соблюдать ограничения протокола и адекватную контрацепцию. </w:t>
      </w:r>
      <w:r>
        <w:rPr>
          <w:rFonts w:eastAsia="Times New Roman" w:cs="Times New Roman"/>
          <w:szCs w:val="24"/>
        </w:rPr>
        <w:t>Добровольцу</w:t>
      </w:r>
      <w:r w:rsidRPr="004D7065">
        <w:rPr>
          <w:rFonts w:eastAsia="Times New Roman" w:cs="Times New Roman"/>
          <w:szCs w:val="24"/>
        </w:rPr>
        <w:t xml:space="preserve"> гарантируют, что при необходимости во время исследования и после ему будет оказана квалифицированная медицинская помощь, что информация, полученная о нем в ходе исследований, будет иметь конфиденциальный характер.</w:t>
      </w:r>
      <w:r>
        <w:rPr>
          <w:rFonts w:eastAsia="Times New Roman" w:cs="Times New Roman"/>
          <w:szCs w:val="24"/>
        </w:rPr>
        <w:t xml:space="preserve"> Проводится разъяснительная беседа с добровольцем.</w:t>
      </w:r>
    </w:p>
    <w:p w14:paraId="061A9920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подтверждает решение принять участие в исследовании, подписывая форму информированного согласия в двух экземплярах (один экземпляр для </w:t>
      </w: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>, другой для исследовательского центра).</w:t>
      </w:r>
    </w:p>
    <w:p w14:paraId="45710B8F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присваивается скрининговый номер (по порядку включения).</w:t>
      </w:r>
    </w:p>
    <w:p w14:paraId="1CD549DD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Заполняется страховой поли</w:t>
      </w:r>
      <w:r>
        <w:rPr>
          <w:rFonts w:eastAsia="Times New Roman" w:cs="Times New Roman"/>
          <w:szCs w:val="24"/>
        </w:rPr>
        <w:t>с</w:t>
      </w:r>
      <w:r w:rsidRPr="004D7065">
        <w:rPr>
          <w:rFonts w:eastAsia="Times New Roman" w:cs="Times New Roman"/>
          <w:szCs w:val="24"/>
        </w:rPr>
        <w:t>, оригинал остается у субъекта, копия</w:t>
      </w:r>
      <w:r>
        <w:rPr>
          <w:rFonts w:eastAsia="Times New Roman" w:cs="Times New Roman"/>
          <w:szCs w:val="24"/>
        </w:rPr>
        <w:t xml:space="preserve"> – у исследовательского центра.</w:t>
      </w:r>
    </w:p>
    <w:p w14:paraId="3D7F5FC1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8938FE" w14:textId="4522B3FE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роводится клиническое и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лабораторно-инструментальное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обследование, включающее врачебный осмотр с учетом особенностей ожидаемого действия изучаем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лекарственн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средств. Все добровольцы проходят процедуру скрининга в соответствии с требованиями, указанными в разделах «Критерии включения» и «Критерии невключения». Максимальное количество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скринированных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добровольцев 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– 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53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человек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5D5C45DB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37F0DDBE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Процедура скрининга включает в себя: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E778D2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первичный </w:t>
      </w:r>
      <w:proofErr w:type="spellStart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физикальный</w:t>
      </w:r>
      <w:proofErr w:type="spellEnd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осмотр; </w:t>
      </w:r>
    </w:p>
    <w:p w14:paraId="3B6FD84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измерение основных жизненных показателей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(ЖВП)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: систолического (САД) и диастолического артериального давления (ДАД), частоты сердечных сокращений (ЧСС), частоты дыхательных движений (ЧДД) и температуры тела; </w:t>
      </w:r>
    </w:p>
    <w:p w14:paraId="4CCA03D3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демографически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антропометрически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данны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</w:t>
      </w:r>
    </w:p>
    <w:p w14:paraId="7D01872C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медицинского и медикаментозного анамнеза; </w:t>
      </w:r>
    </w:p>
    <w:p w14:paraId="3EAB94C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электрокардиограмма (ЭКГ) в 12 отведениях; </w:t>
      </w:r>
    </w:p>
    <w:p w14:paraId="57785304" w14:textId="77777777" w:rsidR="001D62C6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определение индекса массы тела (ИМТ);  </w:t>
      </w:r>
    </w:p>
    <w:p w14:paraId="3E15926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л</w:t>
      </w:r>
      <w:r w:rsidRPr="008E316A">
        <w:t>абораторные</w:t>
      </w:r>
      <w:r>
        <w:t xml:space="preserve"> тесты и</w:t>
      </w:r>
      <w:r w:rsidRPr="008E316A">
        <w:t xml:space="preserve"> анализы</w:t>
      </w:r>
      <w:r>
        <w:t xml:space="preserve">, перечисленные в Таблице </w:t>
      </w:r>
      <w:r w:rsidRPr="00E82BA7">
        <w:rPr>
          <w:highlight w:val="green"/>
        </w:rPr>
        <w:t>3</w:t>
      </w:r>
      <w:r>
        <w:t xml:space="preserve"> Перечень лабораторных показателей;</w:t>
      </w:r>
    </w:p>
    <w:p w14:paraId="5C9F2E7F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оценка соответствия критериям включения/невключения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C7A23D" w14:textId="583B68FB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i/>
          <w:iCs/>
          <w:color w:val="000000"/>
          <w:kern w:val="0"/>
          <w:szCs w:val="24"/>
          <w:u w:color="000000"/>
          <w:bdr w:val="nil"/>
          <w:lang w:eastAsia="en-US"/>
        </w:rPr>
        <w:t xml:space="preserve">Примечание: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исследования могут быть выполнены не в полном объеме, в том случае, если доброволец по каким-либо параметрам не удовлетворяет критериям включения/невключения. </w:t>
      </w:r>
    </w:p>
    <w:p w14:paraId="7A37411E" w14:textId="73632702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A7F1C6" w14:textId="77777777" w:rsidR="001D62C6" w:rsidRPr="005A56E1" w:rsidRDefault="001D62C6" w:rsidP="001D62C6">
      <w:pPr>
        <w:pStyle w:val="afff0"/>
        <w:spacing w:before="200" w:after="0" w:line="276" w:lineRule="auto"/>
        <w:rPr>
          <w:szCs w:val="24"/>
        </w:rPr>
      </w:pPr>
      <w:r w:rsidRPr="005A56E1">
        <w:rPr>
          <w:szCs w:val="24"/>
        </w:rPr>
        <w:t xml:space="preserve">Таблица </w:t>
      </w:r>
      <w:r>
        <w:rPr>
          <w:szCs w:val="24"/>
        </w:rPr>
        <w:t>3</w:t>
      </w:r>
      <w:r w:rsidRPr="005A56E1">
        <w:rPr>
          <w:szCs w:val="24"/>
        </w:rPr>
        <w:t xml:space="preserve"> Перечень лабораторных показателей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528E8F66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20197E" w14:textId="1E4BDD23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осмотра, лабораторных тестов,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соответствия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добровольца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критериям включения и отсутствия критериев невключения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врач-исследователь делает заключение, на основании которого доброволец допускается или не допускается к исследованию. При проведении исследования со-исследователем, он составляет список добровольцев и передает его лицу, ответственному за исследование (главному исследователю). </w:t>
      </w:r>
    </w:p>
    <w:p w14:paraId="5F6F4E39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47EBDA7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[REVIEW REQUIRED] Предложенный washout: 14.0 day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{{SAMPLE_PROCESSING.DEFINITION}}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Условие приёма пищи: после приёма пищи.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{{CONTRACEPTION.PERIOD}}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[REVIEW REQUIRED] Аналиты (PROPOSED / pending AnalyteSelectionDecision): bosutinib.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Основными ФК параметрами являются: Tmax.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единому каноническому SamplingPlan (33 точек на период: [0.0, 1.125, 2.25, 3.375, 4.5, 5.25, 6.0, 6.75, 7.5, 8.0, 8.75, 9.875, 11.562, 14.094, 17.891, 23.586, 32.129, 43.2, 45.2, 47.2, 49.2, 51.2, 53.2, 55.2, 57.2, 59.2, 61.2, 63.2, 65.2, 67.2, 69.2, 71.2, 72.0]) в течение 72.0 h.</w:t>
      </w:r>
    </w:p>
    <w:p w14:paraId="59B684D7" w14:textId="35782C28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исследовании планируется определять концентрацию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после </w:t>
      </w:r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однократног</w:t>
      </w:r>
      <w:commentRangeStart w:id="193"/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</w:t>
      </w:r>
      <w:commentRangeEnd w:id="193"/>
      <w:r w:rsidR="009816AC">
        <w:rPr>
          <w:rStyle w:val="a8"/>
          <w:rFonts w:eastAsia="Times New Roman" w:cs="Times New Roman"/>
          <w:kern w:val="0"/>
          <w:u w:color="000000"/>
        </w:rPr>
        <w:commentReference w:id="193"/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приема дозы каждого из сравниваемых препаратов. Исходя из полученных данных, будут рассчитаны фармакокинетические параметры </w:t>
      </w:r>
      <w:proofErr w:type="spellStart"/>
      <w:r w:rsidR="00AE3CB0">
        <w:rPr>
          <w:szCs w:val="24"/>
        </w:rPr>
        <w:t>бозутиниба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Определение концентрации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будет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осуществляться методом жидкостной хроматографии с тандемной масс-спектрометрией (ВЭЖХ - МС/МС) [5,</w:t>
      </w:r>
      <w:r w:rsidR="00D7771F"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6]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после предварительной пробоподготовки плазмы путем преципитации белков. 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{{BIOANALYSIS.METHOD}}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{{BIOANALYSIS.METHOD}}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{{BIOANALYSIS.SAMPLE_ANALYSIS}}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{{SAFETY.PLAN}}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{{SAFETY.METHODS}}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{{SAFETY.PHYS_EXAM}}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{{SAFETY.VITALS}}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{{SAFETY.LABS}}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{{SAFETY.AE}}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{{SAFETY.FOLLOW_UP}}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{{SAFETY.PREGNANCY}}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статистический анализ выполняется в рамках дизайна (рандомизированное открытое перекрёстное двухпериодное двухпоследовательное исследование). Метод анализа: ANOVA_TOST_90CI. Преобразование: LN. Уровень значимости α=0,05. Критерий BE: 90% ДИ отношения средних в пределах 80%–125%.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Планируемое число субъектов (SubjectPlan): оцениваемых субъектов N=32; рандомизированных N=36. Результаты расчёта SampleSizeCalculation: evaluable_n=32, randomized_n=36 (SampleSizeCalculation, не SubjectPlan). Расчёт размера выборки выполнен с учётом: мощность 80%; α=0,05; dropout 10%; CVintra=30% (Cmax). Источники CV (source_study_ids): 0ff8426b-bc1e-4ada-acc3-be206fcdd0f3.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α=0,05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{{STATISTICS.STOPPING_RULES}}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{{STATISTICS.MISSING_DATA}}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{{STATISTICS.SAP_DEVIATIONS}}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Популяция рандомизированных субъектов: N=36 (SubjectPlan; не подменяется SampleSizeCalculation).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{{STATISTICS.DESCRIPTIVE}}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80% ≤ 90% CI (T/R) ≤ 125%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{{STATISTICS.OUTLIERS}}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{{STATISTICS.SAFETY_ANALYSIS}}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Соблюдение протокола обеспечивается в соответствии со стандартными процедурами центра.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Отклонения от протокола документируются и оцениваются согласно GCP.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Доступ к данным исследования предоставляется уполномоченным лицам в объёме, необходимом для мониторинга, аудита и регуляторной инспекции.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5E77CD01" w14:textId="7FB026C8" w:rsidR="00A24781" w:rsidRPr="00A24781" w:rsidRDefault="000D1DCF" w:rsidP="00F47F2E">
      <w:pPr/>
      <w:bookmarkStart w:id="270" w:name="_Toc116664559"/>
      <w:bookmarkStart w:id="271" w:name="_Toc171964292"/>
      <w:bookmarkEnd w:id="270"/>
      <w:bookmarkEnd w:id="271"/>
      <w:r>
        <w:t>Обеспечение качества проводится в соответствии с GCP и стандартными процедурами спонсора/центра. Частота мониторинга и аудит-график не задаются без канонического источника.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Исследование проводится в соответствии с этическими принципами Хельсинкской декларации и требованиями GCP.</w:t>
      </w:r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{{ETHICS.COMMITTEE}}</w:t>
      </w: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Исходные документы, CRF и электронные записи ведутся и хранятся в соответствии с GCP. Конфиденциальность персональных данных субъектов соблюдается.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{{DATA.RETENTION_YEARS}}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{{FINANCING.DETAILS}}</w:t>
      </w:r>
    </w:p>
    <w:bookmarkEnd w:id="278"/>
    <w:p w14:paraId="19EC9FBC" w14:textId="77777777" w:rsidR="00117402" w:rsidRDefault="0011740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1. APP.T18_T33: FORM — appendix AE/SAE/pregnancy forms T18–T33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2. SIGNATURES: DYNAMIC_CANONICAL — StudyAdministration/persons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см. Приложение A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4055954D" w14:textId="65711EE8" w:rsidR="00A24781" w:rsidRPr="00A24781" w:rsidRDefault="000D1DCF" w:rsidP="00F47F2E">
      <w:pPr/>
      <w:bookmarkStart w:id="284" w:name="_Toc171964298"/>
      <w:bookmarkEnd w:id="282"/>
      <w:bookmarkEnd w:id="284"/>
      <w:r>
        <w:t>В настоящем исследовании планируется оценить биоэквивалентность Бозутиниб в сравнении с Бозулиф в дизайне рандомизированное открытое перекрёстное двухпериодное двухпоследовательное исследование. Число периодов: 2. Условия приёма пищи: после приёма пищи. Планируемое число рандомизированных субъектов: 36.</w:t>
      </w:r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1.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2026-09-08T13:01:10Z</dcterms:modified>
</cp:coreProperties>
</file>