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fixture excerpts from BE_Protocol_Template_v2.0</w:t>
      </w:r>
    </w:p>
    <w:p>
      <w:r>
        <w:t>Source: templates/protocol/BE_Protocol_Template_v2.0.docx body text. Used only for offline E2E evidence extraction tests.</w:t>
      </w:r>
    </w:p>
    <w:p>
      <w:r>
        <w:t>Расчет количества субъектов основан на данных о внутрииндивидуальной вариабельности фармакокинетического параметра Cmax бозутиниба, как наиболее вариабельного фармакокинетического параметра.</w:t>
      </w:r>
    </w:p>
    <w:p>
      <w:r>
        <w:t>Для бозутиниба ожидаемая внутрииндивидуальная вариабельность фармакокинетического параметра Cmax составляет &gt;30% [1].</w:t>
      </w:r>
    </w:p>
    <w:p>
      <w:r>
        <w:t>Согласно данным оригинальных препаратов tmax бозутиниба в среднем составляет 6 часов [2].</w:t>
      </w:r>
    </w:p>
    <w:p>
      <w:r>
        <w:t>Согласно данным оригинальных препаратов конечный период t1/2 бозутиниба составляет 35,5 часов [2], поэтому забор образцов крови в течение 72 часов является достаточным.</w:t>
      </w:r>
    </w:p>
    <w:p>
      <w:r>
        <w:t>Сравниваемые препараты: Бозулиф (бозутиниб, 400 мг, таблетки, покрытые пленочной оболочкой, Pfiser Inc Inc, США) и Бозутиниб (400 мг, таблетки, покрытые пленочной оболочкой).</w:t>
      </w:r>
    </w:p>
    <w:p>
      <w:r>
        <w:t>Для исследования биоэквивалентности у добровольцев предполагается использовать сравниваемые препараты в каждом периоде однократно бозутиниб в дозе равной 400 мг после еды.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