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proofErr w:type="spellEnd"/>
            <w:proofErr w:type="spellStart"/>
            <w:proofErr w:type="spellEnd"/>
            <w:commentRangeEnd w:id="16"/>
            <w:proofErr w:type="spellStart"/>
            <w:proofErr w:type="spellEnd"/>
            <w:commentRangeStart w:id="18"/>
            <w:proofErr w:type="spellStart"/>
            <w:proofErr w:type="spellEnd"/>
            <w:commentRangeEnd w:id="18"/>
            <w:commentRangeStart w:id="19"/>
            <w:commentRangeEnd w:id="19"/>
            <w:commentRangeEnd w:id="17"/>
            <w:r>
              <w:t>№ BE-BOS-400-GOLDEN</w:t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№ BE-BOS-400-GOLDEN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t>Здоровые добровольцы мужского и женского пола в возрасте от 18 до 45 лет, которые по результатам скрининга признаны соответствующими критериям протокола.</w:t>
              <w:br/>
              <w:t>Скринировать до: 36</w:t>
              <w:br/>
              <w:t>Рандомизированные добровольцы: 36</w:t>
              <w:br/>
              <w:t>Дублеры: 0.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препарат.</w:t>
        <w:br/>
        <w:t>Торговое наименование: Бозутиниб</w:t>
        <w:br/>
        <w:t>МНН: bosutinib</w:t>
        <w:br/>
        <w:t>Производитель: {{TEST_PRODUCT.MANUFACTURER}}</w:t>
        <w:br/>
        <w:t>Лекарственная форма: tablet</w:t>
        <w:br/>
        <w:t>Доза / дозировка: 400 mg</w:t>
        <w:br/>
        <w:t>Состав: []</w:t>
        <w:br/>
        <w:t>Путь введения: {{TEST_PRODUCT.ROUTE}}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 (канонический / утверждённый).</w:t>
        <w:br/>
        <w:t>Торговое наименование: Бозулиф</w:t>
        <w:br/>
        <w:t>МНН: bosutinib</w:t>
        <w:br/>
        <w:t>Производитель / держатель РУ: {{REFERENCE_PRODUCT.MANUFACTURER}}</w:t>
        <w:br/>
        <w:t>Лекарственная форма: {{REFERENCE_PRODUCT.DOSAGE_FORM}}</w:t>
        <w:br/>
        <w:t>Доза: 400 mg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7849C13D" w14:textId="4A95CACC" w:rsidR="00FB42ED" w:rsidRDefault="00FB42ED" w:rsidP="00FB42ED">
      <w:pPr>
        <w:tabs>
          <w:tab w:val="left" w:pos="5472"/>
        </w:tabs>
        <w:spacing w:after="160" w:line="276" w:lineRule="auto"/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</w:pP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lastRenderedPageBreak/>
        <w:t xml:space="preserve">Срок годности: </w:t>
      </w:r>
      <w:r w:rsidR="00C86CD6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>4</w:t>
      </w: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 xml:space="preserve"> года.</w:t>
      </w:r>
    </w:p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32; рандомизированных субъектов: 36 (источник: SubjectPlan / subject_plan).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Оценить биоэквивалентность лекарственного препарата Бозутиниб в сравнении с препаратом Бозулиф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f6795f05-bd82-4b69-977a-6231bdeb567e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Дизайн исследования: рандомизированное открытое перекрёстное двухпериодное двухпоследовательное исследование. Число периодов: 2. Последовательности: [['T', 'R'], ['R', 'T']].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тестового (T) и референтного (R) препаратов. Условие пищи: после приёма пищи. Доза: 400 mg.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Сводка плана отбора проб (канонический SamplingPlan).</w:t>
        <w:br/>
        <w:t>Аналиты: bosutinib.</w:t>
        <w:br/>
        <w:t>Число точек отбора на период: 33.</w:t>
        <w:br/>
        <w:t>Запланированные точки отбора (ч): 0, 1.125, 2.25, 3.375, 4.5, 5.25, 6, 6.75, 7.5, 8, 8.75, 9.875, 11.562, 14.094, 17.891, 23.586, 32.129, 43.2, 45.2, 47.2, 49.2, 51.2, 53.2, 55.2, 57.2, 59.2, 61.2, 63.2, 65.2, 67.2, 69.2, 71.2, 72.</w:t>
        <w:br/>
        <w:t>Последняя точка: 72.0.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[REVIEW REQUIRED] Предложенное окно рвоты: 2 × Tmax (Tmax=6.0, окно=12.0 ч). Правило CRIT-05 — PROPOSED, не verified policy.</w:t>
      </w: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2B4E3382" w14:textId="77777777" w:rsidR="00A24781" w:rsidRPr="00A24781" w:rsidRDefault="00A24781" w:rsidP="00A8183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психические, физические и прочие причины, не позволяющие адекватно оценивать свое поведение и правильно выполнять условия протокола исследования. 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Тестовый препарат: Бозутиниб; доза: 400 mg; форма: tablet. Референтный препарат: Бозулиф. Число периодов: 2. Последовательности: [['T', 'R'], ['R', 'T']].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1. 10. Screening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2. 20. Hospitalization /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3. 30. Dosing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4. 40. Hospitalization /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5. 50. Dosing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6. 60.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7. 70.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8. 80.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9. 90.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10. 100.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11. 110.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12. 120.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13. 130.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14. 140.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15. 150.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16. 160.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17. 170.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18. 180.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19. 190.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20. 200.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21. 210.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22. 220.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23. 230.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24. 240.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25. 250.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26. 260.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27. 270.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28. 280.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29. 290.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30. 300.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31. 310.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32. 320.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33. 330.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34. 340.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35. 350.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36. 360.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37. 370.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38. 380.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39. 390.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40. 400.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41. 410.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42. 420.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43. 430.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44. 440.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45. 450.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46. 460.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47. 470.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48. 480.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49. 490.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50. 500.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51. 510.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52. 520.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53. 530.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54. 540.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55. 550.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56. 560.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57. 570.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58. 580.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59. 590.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60. 600.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61. 610.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62. 620.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63. 630.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64. 640.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65. 650.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66. 660.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67. 670.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68. 680.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69. 690.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70. 700.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71. 710.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72. 720.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73. 730.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74. 740.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75. 750.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76. 760. Washout interval (14.0 day)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77. 770. Final / end-of-study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p w14:paraId="0E4838F3" w14:textId="5F93BFD4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33108A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3BD85B8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До начала исследования субъектам предоставляется Информационный листок добровольца с формой информированного согласия для ознакомления, который можно забрать с собой чтобы посоветоват</w:t>
      </w:r>
      <w:r>
        <w:rPr>
          <w:rFonts w:eastAsia="Times New Roman" w:cs="Times New Roman"/>
          <w:szCs w:val="24"/>
        </w:rPr>
        <w:t>ься с друзьями, родственниками.</w:t>
      </w:r>
    </w:p>
    <w:p w14:paraId="18BF833E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 xml:space="preserve"> предупреждают о необходимости на протяжении всего исследования соблюдать ограничения протокола и адекватную контрацепцию. </w:t>
      </w:r>
      <w:r>
        <w:rPr>
          <w:rFonts w:eastAsia="Times New Roman" w:cs="Times New Roman"/>
          <w:szCs w:val="24"/>
        </w:rPr>
        <w:t>Добровольцу</w:t>
      </w:r>
      <w:r w:rsidRPr="004D7065">
        <w:rPr>
          <w:rFonts w:eastAsia="Times New Roman" w:cs="Times New Roman"/>
          <w:szCs w:val="24"/>
        </w:rPr>
        <w:t xml:space="preserve"> гарантируют, что при необходимости во время исследования и после ему будет оказана квалифицированная медицинская помощь, что информация, полученная о нем в ходе исследований, будет иметь конфиденциальный характер.</w:t>
      </w:r>
      <w:r>
        <w:rPr>
          <w:rFonts w:eastAsia="Times New Roman" w:cs="Times New Roman"/>
          <w:szCs w:val="24"/>
        </w:rPr>
        <w:t xml:space="preserve"> Проводится разъяснительная беседа с добровольцем.</w:t>
      </w:r>
    </w:p>
    <w:p w14:paraId="061A9920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подтверждает решение принять участие в исследовании, подписывая форму информированного согласия в двух экземплярах (один экземпляр для </w:t>
      </w: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>, другой для исследовательского центра).</w:t>
      </w:r>
    </w:p>
    <w:p w14:paraId="45710B8F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присваивается скрининговый номер (по порядку включения).</w:t>
      </w:r>
    </w:p>
    <w:p w14:paraId="1CD549DD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Заполняется страховой поли</w:t>
      </w:r>
      <w:r>
        <w:rPr>
          <w:rFonts w:eastAsia="Times New Roman" w:cs="Times New Roman"/>
          <w:szCs w:val="24"/>
        </w:rPr>
        <w:t>с</w:t>
      </w:r>
      <w:r w:rsidRPr="004D7065">
        <w:rPr>
          <w:rFonts w:eastAsia="Times New Roman" w:cs="Times New Roman"/>
          <w:szCs w:val="24"/>
        </w:rPr>
        <w:t>, оригинал остается у субъекта, копия</w:t>
      </w:r>
      <w:r>
        <w:rPr>
          <w:rFonts w:eastAsia="Times New Roman" w:cs="Times New Roman"/>
          <w:szCs w:val="24"/>
        </w:rPr>
        <w:t xml:space="preserve"> – у исследовательского центра.</w:t>
      </w:r>
    </w:p>
    <w:p w14:paraId="3D7F5FC1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8938FE" w14:textId="4522B3FE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роводится клиническое и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лабораторно-инструментальное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обследование, включающее врачебный осмотр с учетом особенностей ожидаемого действия изучаем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лекарственн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средств. Все добровольцы проходят процедуру скрининга в соответствии с требованиями, указанными в разделах «Критерии включения» и «Критерии невключения». Максимальное количество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скринированных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добровольцев 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– 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53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человек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5D5C45DB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37F0DDBE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Процедура скрининга включает в себя: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E778D2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первичный </w:t>
      </w:r>
      <w:proofErr w:type="spellStart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физикальный</w:t>
      </w:r>
      <w:proofErr w:type="spellEnd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осмотр; </w:t>
      </w:r>
    </w:p>
    <w:p w14:paraId="3B6FD84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измерение основных жизненных показателей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(ЖВП)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: систолического (САД) и диастолического артериального давления (ДАД), частоты сердечных сокращений (ЧСС), частоты дыхательных движений (ЧДД) и температуры тела; </w:t>
      </w:r>
    </w:p>
    <w:p w14:paraId="4CCA03D3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демографически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антропометрически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данны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</w:t>
      </w:r>
    </w:p>
    <w:p w14:paraId="7D01872C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медицинского и медикаментозного анамнеза; </w:t>
      </w:r>
    </w:p>
    <w:p w14:paraId="3EAB94C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электрокардиограмма (ЭКГ) в 12 отведениях; </w:t>
      </w:r>
    </w:p>
    <w:p w14:paraId="57785304" w14:textId="77777777" w:rsidR="001D62C6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определение индекса массы тела (ИМТ);  </w:t>
      </w:r>
    </w:p>
    <w:p w14:paraId="3E15926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л</w:t>
      </w:r>
      <w:r w:rsidRPr="008E316A">
        <w:t>абораторные</w:t>
      </w:r>
      <w:r>
        <w:t xml:space="preserve"> тесты и</w:t>
      </w:r>
      <w:r w:rsidRPr="008E316A">
        <w:t xml:space="preserve"> анализы</w:t>
      </w:r>
      <w:r>
        <w:t xml:space="preserve">, перечисленные в Таблице </w:t>
      </w:r>
      <w:r w:rsidRPr="00E82BA7">
        <w:rPr>
          <w:highlight w:val="green"/>
        </w:rPr>
        <w:t>3</w:t>
      </w:r>
      <w:r>
        <w:t xml:space="preserve"> Перечень лабораторных показателей;</w:t>
      </w:r>
    </w:p>
    <w:p w14:paraId="5C9F2E7F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оценка соответствия критериям включения/невключения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C7A23D" w14:textId="583B68FB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i/>
          <w:iCs/>
          <w:color w:val="000000"/>
          <w:kern w:val="0"/>
          <w:szCs w:val="24"/>
          <w:u w:color="000000"/>
          <w:bdr w:val="nil"/>
          <w:lang w:eastAsia="en-US"/>
        </w:rPr>
        <w:t xml:space="preserve">Примечание: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исследования могут быть выполнены не в полном объеме, в том случае, если доброволец по каким-либо параметрам не удовлетворяет критериям включения/невключения. </w:t>
      </w:r>
    </w:p>
    <w:p w14:paraId="7A37411E" w14:textId="73632702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A7F1C6" w14:textId="77777777" w:rsidR="001D62C6" w:rsidRPr="005A56E1" w:rsidRDefault="001D62C6" w:rsidP="001D62C6">
      <w:pPr>
        <w:pStyle w:val="afff0"/>
        <w:spacing w:before="200" w:after="0" w:line="276" w:lineRule="auto"/>
        <w:rPr>
          <w:szCs w:val="24"/>
        </w:rPr>
      </w:pPr>
      <w:r w:rsidRPr="005A56E1">
        <w:rPr>
          <w:szCs w:val="24"/>
        </w:rPr>
        <w:t xml:space="preserve">Таблица </w:t>
      </w:r>
      <w:r>
        <w:rPr>
          <w:szCs w:val="24"/>
        </w:rPr>
        <w:t>3</w:t>
      </w:r>
      <w:r w:rsidRPr="005A56E1">
        <w:rPr>
          <w:szCs w:val="24"/>
        </w:rPr>
        <w:t xml:space="preserve"> Перечень лабораторных показателей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528E8F66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20197E" w14:textId="1E4BDD23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осмотра, лабораторных тестов,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соответствия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добровольца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критериям включения и отсутствия критериев невключения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врач-исследователь делает заключение, на основании которого доброволец допускается или не допускается к исследованию. При проведении исследования со-исследователем, он составляет список добровольцев и передает его лицу, ответственному за исследование (главному исследователю). </w:t>
      </w:r>
    </w:p>
    <w:p w14:paraId="5F6F4E39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47EBDA7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[REVIEW REQUIRED] Предложенный washout: 14.0 day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{{SAMPLE_PROCESSING.DEFINITION}}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Условие приёма пищи: после приёма пищи.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{{CONTRACEPTION.PERIOD}}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[REVIEW REQUIRED] Аналиты (PROPOSED / pending AnalyteSelectionDecision): bosutinib.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Основными ФК параметрами являются: Tmax.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единому каноническому SamplingPlan (33 точек на период: [0.0, 1.125, 2.25, 3.375, 4.5, 5.25, 6.0, 6.75, 7.5, 8.0, 8.75, 9.875, 11.562, 14.094, 17.891, 23.586, 32.129, 43.2, 45.2, 47.2, 49.2, 51.2, 53.2, 55.2, 57.2, 59.2, 61.2, 63.2, 65.2, 67.2, 69.2, 71.2, 72.0]) в течение 72.0 h.</w:t>
      </w:r>
    </w:p>
    <w:p w14:paraId="59B684D7" w14:textId="35782C28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исследовании планируется определять концентрацию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после </w:t>
      </w:r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однократног</w:t>
      </w:r>
      <w:commentRangeStart w:id="193"/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</w:t>
      </w:r>
      <w:commentRangeEnd w:id="193"/>
      <w:r w:rsidR="009816AC">
        <w:rPr>
          <w:rStyle w:val="a8"/>
          <w:rFonts w:eastAsia="Times New Roman" w:cs="Times New Roman"/>
          <w:kern w:val="0"/>
          <w:u w:color="000000"/>
        </w:rPr>
        <w:commentReference w:id="193"/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приема дозы каждого из сравниваемых препаратов. Исходя из полученных данных, будут рассчитаны фармакокинетические параметры </w:t>
      </w:r>
      <w:proofErr w:type="spellStart"/>
      <w:r w:rsidR="00AE3CB0">
        <w:rPr>
          <w:szCs w:val="24"/>
        </w:rPr>
        <w:t>бозутиниба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Определение концентрации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будет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осуществляться методом жидкостной хроматографии с тандемной масс-спектрометрией (ВЭЖХ - МС/МС) [5,</w:t>
      </w:r>
      <w:r w:rsidR="00D7771F"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6]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после предварительной пробоподготовки плазмы путем преципитации белков. 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{{BIOANALYSIS.METHOD}}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{{BIOANALYSIS.METHOD}}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{{BIOANALYSIS.SAMPLE_ANALYSIS}}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{{SAFETY.PLAN}}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{{SAFETY.METHODS}}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{{SAFETY.PHYS_EXAM}}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{{SAFETY.VITALS}}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{{SAFETY.LABS}}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{{SAFETY.AE}}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{{SAFETY.FOLLOW_UP}}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{{SAFETY.PREGNANCY}}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статистический анализ выполняется в рамках дизайна (рандомизированное открытое перекрёстное двухпериодное двухпоследовательное исследование). Метод анализа: ANOVA_TOST_90CI. Преобразование: LN. Уровень значимости α=0,05. Критерий BE: 90% ДИ отношения средних в пределах 80%–125%.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Планируемое число субъектов (SubjectPlan): оцениваемых субъектов N=32; рандомизированных N=36. Результаты расчёта SampleSizeCalculation: evaluable_n=32, randomized_n=36 (SampleSizeCalculation, не SubjectPlan). Расчёт размера выборки выполнен с учётом: мощность 80%; α=0,05; dropout 10%; CVintra=30% (Cmax). Источники CV (source_study_ids): a812dd2f-94b9-4e46-929e-88bbe205d9ff.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α=0,05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{{STATISTICS.STOPPING_RULES}}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{{STATISTICS.MISSING_DATA}}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{{STATISTICS.SAP_DEVIATIONS}}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Популяция рандомизированных субъектов: N=36 (SubjectPlan; не подменяется SampleSizeCalculation).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{{STATISTICS.DESCRIPTIVE}}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80% ≤ 90% CI (T/R) ≤ 125%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{{STATISTICS.OUTLIERS}}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{{STATISTICS.SAFETY_ANALYSIS}}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Соблюдение протокола обеспечивается в соответствии со стандартными процедурами центра.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Отклонения от протокола документируются и оцениваются согласно GCP.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Доступ к данным исследования предоставляется уполномоченным лицам в объёме, необходимом для мониторинга, аудита и регуляторной инспекции.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5E77CD01" w14:textId="7FB026C8" w:rsidR="00A24781" w:rsidRPr="00A24781" w:rsidRDefault="000D1DCF" w:rsidP="00F47F2E">
      <w:pPr/>
      <w:bookmarkStart w:id="270" w:name="_Toc116664559"/>
      <w:bookmarkStart w:id="271" w:name="_Toc171964292"/>
      <w:bookmarkEnd w:id="270"/>
      <w:bookmarkEnd w:id="271"/>
      <w:r>
        <w:t>Обеспечение качества проводится в соответствии с GCP и стандартными процедурами спонсора/центра. Частота мониторинга и аудит-график не задаются без канонического источника.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Исследование проводится в соответствии с этическими принципами Хельсинкской декларации и требованиями GCP.</w:t>
      </w:r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{{ETHICS.COMMITTEE}}</w:t>
      </w: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Исходные документы, CRF и электронные записи ведутся и хранятся в соответствии с GCP. Конфиденциальность персональных данных субъектов соблюдается.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{{DATA.RETENTION_YEARS}}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{{FINANCING.DETAILS}}</w:t>
      </w:r>
    </w:p>
    <w:bookmarkEnd w:id="278"/>
    <w:p w14:paraId="19EC9FBC" w14:textId="77777777" w:rsidR="00117402" w:rsidRDefault="0011740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1. APP.T18_T33: FORM — appendix AE/SAE/pregnancy forms T18–T33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2. SIGNATURES: DYNAMIC_CANONICAL — StudyAdministration/persons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см. Приложение A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4055954D" w14:textId="65711EE8" w:rsidR="00A24781" w:rsidRPr="00A24781" w:rsidRDefault="000D1DCF" w:rsidP="00F47F2E">
      <w:pPr/>
      <w:bookmarkStart w:id="284" w:name="_Toc171964298"/>
      <w:bookmarkEnd w:id="282"/>
      <w:bookmarkEnd w:id="284"/>
      <w:r>
        <w:t>В настоящем исследовании планируется оценить биоэквивалентность Бозутиниб в сравнении с Бозулиф в дизайне рандомизированное открытое перекрёстное двухпериодное двухпоследовательное исследование. Число периодов: 2. Условия приёма пищи: после приёма пищи. Планируемое число рандомизированных субъектов: 36.</w:t>
      </w:r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1.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2026-09-09T03:06:56Z</dcterms:modified>
</cp:coreProperties>
</file>