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Charter Party Agreement</w:t>
      </w:r>
    </w:p>
    <w:p>
      <w:r>
        <w:t>This Charter Party (the "Agreement") is made between {{OWNER}} (Owner) and {{CHARTERER}} (Charterer) for the vessel {{VESSEL}}.</w:t>
      </w:r>
    </w:p>
    <w:p>
      <w:r>
        <w:t>Laycan shall be between {{LAYCAN_START}} and {{LAYCAN_END}}.</w:t>
      </w:r>
    </w:p>
    <w:p>
      <w:r>
        <w:t>Cargo: {{CARGO}} of approx. {{QUANTITY}} to be shipped from {{LOADING_PORT}} to {{DISCHARGE_PORT}}.</w:t>
      </w:r>
    </w:p>
    <w:p>
      <w:r>
        <w:t>Freight: {{FREIGHT}}. Demurrage: {{DEMURRAGE_RATE}}.</w:t>
      </w:r>
    </w:p>
    <w:p>
      <w:r>
        <w:t>Governing Law: {{GOVERNING_LAW}}. Arbitration: {{ARBITRATION_SEAT}}.</w:t>
      </w:r>
    </w:p>
    <w:p/>
    <w:p>
      <w:pPr>
        <w:pStyle w:val="Heading1"/>
      </w:pPr>
      <w:r>
        <w:t>Standard Clauses</w:t>
      </w:r>
    </w:p>
    <w:p>
      <w:r>
        <w:rPr>
          <w:sz w:val="22"/>
        </w:rPr>
        <w:t>1. Owners warrant vessel is seaworthy.</w:t>
      </w:r>
    </w:p>
    <w:p>
      <w:r>
        <w:rPr>
          <w:sz w:val="22"/>
        </w:rPr>
        <w:t>2. Notice of Readiness (NOR) can be tendered at customary anchorage.</w:t>
      </w:r>
    </w:p>
    <w:p>
      <w:r>
        <w:rPr>
          <w:sz w:val="22"/>
        </w:rPr>
        <w:t>3. Laytime counting rules as per applicable CP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