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77E89"/>
          <w:sz w:val="20"/>
        </w:rPr>
        <w:t>CONTRIBUTION PROGRAMMATIQUE · LFI 2026</w:t>
      </w:r>
    </w:p>
    <w:p>
      <w:pPr>
        <w:jc w:val="center"/>
      </w:pPr>
      <w:r>
        <w:rPr>
          <w:rFonts w:ascii="Aptos" w:hAnsi="Aptos"/>
          <w:b/>
          <w:i w:val="0"/>
          <w:color w:val="17324D"/>
          <w:sz w:val="58"/>
        </w:rPr>
        <w:t>Planifier sans confisquer le pouvoir</w:t>
      </w:r>
    </w:p>
    <w:p>
      <w:pPr>
        <w:jc w:val="center"/>
      </w:pPr>
      <w:r>
        <w:rPr>
          <w:rFonts w:ascii="Aptos" w:hAnsi="Aptos"/>
          <w:b w:val="0"/>
          <w:i w:val="0"/>
          <w:color w:val="177E89"/>
          <w:sz w:val="28"/>
        </w:rPr>
        <w:t>Quinze amendements proposés à L'Avenir en commun</w:t>
      </w:r>
    </w:p>
    <w:p>
      <w:pPr>
        <w:jc w:val="center"/>
      </w:pPr>
      <w:r>
        <w:rPr>
          <w:rFonts w:ascii="Aptos" w:hAnsi="Aptos"/>
          <w:b w:val="0"/>
          <w:i w:val="0"/>
          <w:color w:val="66737D"/>
          <w:sz w:val="19"/>
        </w:rPr>
        <w:t>France · septembre 2026 · paquet de transmission</w:t>
      </w:r>
    </w:p>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AF1F4"/>
          </w:tcPr>
          <w:p>
            <w:pPr>
              <w:spacing w:after="40"/>
            </w:pPr>
            <w:r>
              <w:rPr>
                <w:rFonts w:ascii="Aptos" w:hAnsi="Aptos"/>
                <w:b/>
                <w:i w:val="0"/>
                <w:color w:val="17324D"/>
                <w:sz w:val="22"/>
              </w:rPr>
              <w:t>Ce qui est proposé</w:t>
            </w:r>
          </w:p>
          <w:p>
            <w:pPr>
              <w:spacing w:after="20"/>
            </w:pPr>
            <w:r>
              <w:rPr>
                <w:rFonts w:ascii="Aptos" w:hAnsi="Aptos"/>
                <w:b w:val="0"/>
                <w:i w:val="0"/>
                <w:color w:val="24323D"/>
                <w:sz w:val="21"/>
              </w:rPr>
              <w:t>Un paquet autonome de quinze ajouts à intégrer, modifier ou écarter séparément : planification écologique démocratique, communs, continuité des services et contre-pouvoirs effectifs.</w:t>
            </w:r>
          </w:p>
        </w:tc>
      </w:tr>
    </w:tbl>
    <w:p>
      <w:pPr>
        <w:pStyle w:val="Heading1"/>
      </w:pPr>
      <w:r>
        <w:rPr>
          <w:rFonts w:ascii="Aptos" w:hAnsi="Aptos"/>
          <w:b w:val="0"/>
          <w:i w:val="0"/>
          <w:color w:val="24323D"/>
          <w:sz w:val="21"/>
        </w:rPr>
        <w:t>Demande</w:t>
      </w:r>
    </w:p>
    <w:p>
      <w:r>
        <w:rPr>
          <w:rFonts w:ascii="Aptos" w:hAnsi="Aptos"/>
          <w:b w:val="0"/>
          <w:i w:val="0"/>
          <w:color w:val="24323D"/>
          <w:sz w:val="21"/>
        </w:rPr>
        <w:t>Nous vous transmettons, en 2026, quinze amendements proposés à L'Avenir en commun. Ils prolongent des engagements présents dans l'édition 2025 actuellement mobilisée pour le programme 2027 : lois-cadres de planification écologique et démocratique, Conseil à la planification écologique, moyens des opérateurs publics, protection des biens communs, intervention citoyenne et droits nouveaux des salariés.</w:t>
      </w:r>
    </w:p>
    <w:p>
      <w:r>
        <w:rPr>
          <w:rFonts w:ascii="Aptos" w:hAnsi="Aptos"/>
          <w:b w:val="0"/>
          <w:i w:val="0"/>
          <w:color w:val="24323D"/>
          <w:sz w:val="21"/>
        </w:rPr>
        <w:t>Le dossier ne demande pas l'adoption d'une architecture CCT complète. Il ajoute des garanties concrètes : qui décide, qui contrôle, quelles données restent publiques, comment un droit demeure accessible, comment un pouvoir exceptionnel s'arrête, et comment une promesse est retirée lorsqu'elle échoue.</w:t>
      </w:r>
    </w:p>
    <w:p>
      <w:pPr>
        <w:pStyle w:val="Heading1"/>
      </w:pPr>
      <w:r>
        <w:rPr>
          <w:rFonts w:ascii="Aptos" w:hAnsi="Aptos"/>
          <w:b w:val="0"/>
          <w:i w:val="0"/>
          <w:color w:val="24323D"/>
          <w:sz w:val="21"/>
        </w:rPr>
        <w:t>Statut de travail</w:t>
      </w:r>
    </w:p>
    <w:p>
      <w:r>
        <w:rPr>
          <w:rFonts w:ascii="Aptos" w:hAnsi="Aptos"/>
          <w:b w:val="0"/>
          <w:i w:val="0"/>
          <w:color w:val="24323D"/>
          <w:sz w:val="21"/>
        </w:rPr>
        <w:t>Le paquet a été constitué sans intervenant extérieur avant envoi. Il ne prétend donc ni avoir été reçu, ni validé juridiquement, ni chiffré définitivement. Les points ouverts sont explicitement signalés dans chaque fiche ; ils ne sont pas masqués par une promesse.</w:t>
      </w:r>
    </w:p>
    <w:p>
      <w:pPr>
        <w:pStyle w:val="Heading1"/>
      </w:pPr>
      <w:r>
        <w:rPr>
          <w:rFonts w:ascii="Aptos" w:hAnsi="Aptos"/>
          <w:b w:val="0"/>
          <w:i w:val="0"/>
          <w:color w:val="24323D"/>
          <w:sz w:val="21"/>
        </w:rPr>
        <w:t>Les quinze amendements</w:t>
      </w:r>
    </w:p>
    <w:tbl>
      <w:tblPr>
        <w:tblStyle w:val="TableGrid"/>
        <w:tblW w:type="dxa" w:w="9360"/>
        <w:jc w:val="left"/>
        <w:tblLayout w:type="fixed"/>
        <w:tblLook w:firstColumn="1" w:firstRow="1" w:lastColumn="0" w:lastRow="0" w:noHBand="0" w:noVBand="1" w:val="04A0"/>
        <w:tblInd w:w="120" w:type="dxa"/>
      </w:tblPr>
      <w:tblGrid>
        <w:gridCol w:w="850"/>
        <w:gridCol w:w="3500"/>
        <w:gridCol w:w="5010"/>
      </w:tblGrid>
      <w:tr>
        <w:trPr>
          <w:tblHeader w:val="true"/>
        </w:trPr>
        <w:tc>
          <w:tcPr>
            <w:tcW w:type="dxa" w:w="850"/>
            <w:vAlign w:val="center"/>
            <w:tcMar>
              <w:top w:w="90" w:type="dxa"/>
              <w:bottom w:w="90" w:type="dxa"/>
              <w:start w:w="120" w:type="dxa"/>
              <w:end w:w="120" w:type="dxa"/>
            </w:tcMar>
            <w:shd w:fill="F3F5F6"/>
          </w:tcPr>
          <w:p>
            <w:r>
              <w:rPr>
                <w:rFonts w:ascii="Aptos" w:hAnsi="Aptos"/>
                <w:b/>
                <w:i w:val="0"/>
                <w:color w:val="17324D"/>
                <w:sz w:val="18"/>
              </w:rPr>
              <w:t>ID</w:t>
            </w:r>
          </w:p>
        </w:tc>
        <w:tc>
          <w:tcPr>
            <w:tcW w:type="dxa" w:w="3500"/>
            <w:vAlign w:val="center"/>
            <w:tcMar>
              <w:top w:w="90" w:type="dxa"/>
              <w:bottom w:w="90" w:type="dxa"/>
              <w:start w:w="120" w:type="dxa"/>
              <w:end w:w="120" w:type="dxa"/>
            </w:tcMar>
            <w:shd w:fill="F3F5F6"/>
          </w:tcPr>
          <w:p>
            <w:r>
              <w:rPr>
                <w:rFonts w:ascii="Aptos" w:hAnsi="Aptos"/>
                <w:b/>
                <w:i w:val="0"/>
                <w:color w:val="17324D"/>
                <w:sz w:val="18"/>
              </w:rPr>
              <w:t>Amendement</w:t>
            </w:r>
          </w:p>
        </w:tc>
        <w:tc>
          <w:tcPr>
            <w:tcW w:type="dxa" w:w="5010"/>
            <w:vAlign w:val="center"/>
            <w:tcMar>
              <w:top w:w="90" w:type="dxa"/>
              <w:bottom w:w="90" w:type="dxa"/>
              <w:start w:w="120" w:type="dxa"/>
              <w:end w:w="120" w:type="dxa"/>
            </w:tcMar>
            <w:shd w:fill="F3F5F6"/>
          </w:tcPr>
          <w:p>
            <w:r>
              <w:rPr>
                <w:rFonts w:ascii="Aptos" w:hAnsi="Aptos"/>
                <w:b/>
                <w:i w:val="0"/>
                <w:color w:val="17324D"/>
                <w:sz w:val="18"/>
              </w:rPr>
              <w:t>Effet recherché</w:t>
            </w:r>
          </w:p>
        </w:tc>
      </w:tr>
      <w:tr>
        <w:tc>
          <w:tcPr>
            <w:tcW w:type="dxa" w:w="850"/>
            <w:vAlign w:val="center"/>
          </w:tcPr>
          <w:p>
            <w:r>
              <w:rPr>
                <w:rFonts w:ascii="Aptos" w:hAnsi="Aptos"/>
                <w:b/>
                <w:i w:val="0"/>
                <w:color w:val="17324D"/>
                <w:sz w:val="18"/>
              </w:rPr>
              <w:t>M01</w:t>
            </w:r>
          </w:p>
        </w:tc>
        <w:tc>
          <w:tcPr>
            <w:tcW w:type="dxa" w:w="3500"/>
            <w:vAlign w:val="center"/>
          </w:tcPr>
          <w:p>
            <w:r>
              <w:rPr>
                <w:rFonts w:ascii="Aptos" w:hAnsi="Aptos"/>
                <w:b/>
                <w:i w:val="0"/>
                <w:color w:val="24323D"/>
                <w:sz w:val="18"/>
              </w:rPr>
              <w:t>Loi-cadre de planification écologique démocratique</w:t>
            </w:r>
          </w:p>
        </w:tc>
        <w:tc>
          <w:tcPr>
            <w:tcW w:type="dxa" w:w="5010"/>
            <w:vAlign w:val="center"/>
          </w:tcPr>
          <w:p>
            <w:r>
              <w:rPr>
                <w:rFonts w:ascii="Aptos" w:hAnsi="Aptos"/>
                <w:b w:val="0"/>
                <w:i w:val="0"/>
                <w:color w:val="24323D"/>
                <w:sz w:val="18"/>
              </w:rPr>
              <w:t>Une loi quinquennale fixe les objectifs physiques, les investissements, les responsabilités sectorielles et les modalités de révision publique.</w:t>
            </w:r>
          </w:p>
        </w:tc>
      </w:tr>
      <w:tr>
        <w:tc>
          <w:tcPr>
            <w:tcW w:type="dxa" w:w="850"/>
            <w:vAlign w:val="center"/>
          </w:tcPr>
          <w:p>
            <w:r>
              <w:rPr>
                <w:rFonts w:ascii="Aptos" w:hAnsi="Aptos"/>
                <w:b/>
                <w:i w:val="0"/>
                <w:color w:val="17324D"/>
                <w:sz w:val="18"/>
              </w:rPr>
              <w:t>M02</w:t>
            </w:r>
          </w:p>
        </w:tc>
        <w:tc>
          <w:tcPr>
            <w:tcW w:type="dxa" w:w="3500"/>
            <w:vAlign w:val="center"/>
          </w:tcPr>
          <w:p>
            <w:r>
              <w:rPr>
                <w:rFonts w:ascii="Aptos" w:hAnsi="Aptos"/>
                <w:b/>
                <w:i w:val="0"/>
                <w:color w:val="24323D"/>
                <w:sz w:val="18"/>
              </w:rPr>
              <w:t>Conseil de planification pluraliste et droit de contre-expertise</w:t>
            </w:r>
          </w:p>
        </w:tc>
        <w:tc>
          <w:tcPr>
            <w:tcW w:type="dxa" w:w="5010"/>
            <w:vAlign w:val="center"/>
          </w:tcPr>
          <w:p>
            <w:r>
              <w:rPr>
                <w:rFonts w:ascii="Aptos" w:hAnsi="Aptos"/>
                <w:b w:val="0"/>
                <w:i w:val="0"/>
                <w:color w:val="24323D"/>
                <w:sz w:val="18"/>
              </w:rPr>
              <w:t>Compléter le Conseil de planification écologique par un collège syndical, associatif, territorial et citoyen tiré au sort, doté d'un droit de publication de désaccord et de contre-expertise financée.</w:t>
            </w:r>
          </w:p>
        </w:tc>
      </w:tr>
      <w:tr>
        <w:tc>
          <w:tcPr>
            <w:tcW w:type="dxa" w:w="850"/>
            <w:vAlign w:val="center"/>
          </w:tcPr>
          <w:p>
            <w:r>
              <w:rPr>
                <w:rFonts w:ascii="Aptos" w:hAnsi="Aptos"/>
                <w:b/>
                <w:i w:val="0"/>
                <w:color w:val="17324D"/>
                <w:sz w:val="18"/>
              </w:rPr>
              <w:t>M03</w:t>
            </w:r>
          </w:p>
        </w:tc>
        <w:tc>
          <w:tcPr>
            <w:tcW w:type="dxa" w:w="3500"/>
            <w:vAlign w:val="center"/>
          </w:tcPr>
          <w:p>
            <w:r>
              <w:rPr>
                <w:rFonts w:ascii="Aptos" w:hAnsi="Aptos"/>
                <w:b/>
                <w:i w:val="0"/>
                <w:color w:val="24323D"/>
                <w:sz w:val="18"/>
              </w:rPr>
              <w:t>Communs de bassin versant et contrats de solidarité hydrique</w:t>
            </w:r>
          </w:p>
        </w:tc>
        <w:tc>
          <w:tcPr>
            <w:tcW w:type="dxa" w:w="5010"/>
            <w:vAlign w:val="center"/>
          </w:tcPr>
          <w:p>
            <w:r>
              <w:rPr>
                <w:rFonts w:ascii="Aptos" w:hAnsi="Aptos"/>
                <w:b w:val="0"/>
                <w:i w:val="0"/>
                <w:color w:val="24323D"/>
                <w:sz w:val="18"/>
              </w:rPr>
              <w:t>Donner aux bassins versants une gouvernance publique multi-acteurs de l'eau : collectivités, usagers domestiques, salariés, agriculteurs, scientifiques et associations.</w:t>
            </w:r>
          </w:p>
        </w:tc>
      </w:tr>
      <w:tr>
        <w:tc>
          <w:tcPr>
            <w:tcW w:type="dxa" w:w="850"/>
            <w:vAlign w:val="center"/>
          </w:tcPr>
          <w:p>
            <w:r>
              <w:rPr>
                <w:rFonts w:ascii="Aptos" w:hAnsi="Aptos"/>
                <w:b/>
                <w:i w:val="0"/>
                <w:color w:val="17324D"/>
                <w:sz w:val="18"/>
              </w:rPr>
              <w:t>M04</w:t>
            </w:r>
          </w:p>
        </w:tc>
        <w:tc>
          <w:tcPr>
            <w:tcW w:type="dxa" w:w="3500"/>
            <w:vAlign w:val="center"/>
          </w:tcPr>
          <w:p>
            <w:r>
              <w:rPr>
                <w:rFonts w:ascii="Aptos" w:hAnsi="Aptos"/>
                <w:b/>
                <w:i w:val="0"/>
                <w:color w:val="24323D"/>
                <w:sz w:val="18"/>
              </w:rPr>
              <w:t>Registre public des dépendances vitales</w:t>
            </w:r>
          </w:p>
        </w:tc>
        <w:tc>
          <w:tcPr>
            <w:tcW w:type="dxa" w:w="5010"/>
            <w:vAlign w:val="center"/>
          </w:tcPr>
          <w:p>
            <w:r>
              <w:rPr>
                <w:rFonts w:ascii="Aptos" w:hAnsi="Aptos"/>
                <w:b w:val="0"/>
                <w:i w:val="0"/>
                <w:color w:val="24323D"/>
                <w:sz w:val="18"/>
              </w:rPr>
              <w:t>Pour eau, énergie, soins, paiements, communications et alimentation, publier les dépendances critiques, points uniques de défaillance, solutions de secours et autorités d'arrêt.</w:t>
            </w:r>
          </w:p>
        </w:tc>
      </w:tr>
      <w:tr>
        <w:tc>
          <w:tcPr>
            <w:tcW w:type="dxa" w:w="850"/>
            <w:vAlign w:val="center"/>
          </w:tcPr>
          <w:p>
            <w:r>
              <w:rPr>
                <w:rFonts w:ascii="Aptos" w:hAnsi="Aptos"/>
                <w:b/>
                <w:i w:val="0"/>
                <w:color w:val="17324D"/>
                <w:sz w:val="18"/>
              </w:rPr>
              <w:t>M05</w:t>
            </w:r>
          </w:p>
        </w:tc>
        <w:tc>
          <w:tcPr>
            <w:tcW w:type="dxa" w:w="3500"/>
            <w:vAlign w:val="center"/>
          </w:tcPr>
          <w:p>
            <w:r>
              <w:rPr>
                <w:rFonts w:ascii="Aptos" w:hAnsi="Aptos"/>
                <w:b/>
                <w:i w:val="0"/>
                <w:color w:val="24323D"/>
                <w:sz w:val="18"/>
              </w:rPr>
              <w:t>Porte de capacité avant tout transfert de service essentiel</w:t>
            </w:r>
          </w:p>
        </w:tc>
        <w:tc>
          <w:tcPr>
            <w:tcW w:type="dxa" w:w="5010"/>
            <w:vAlign w:val="center"/>
          </w:tcPr>
          <w:p>
            <w:r>
              <w:rPr>
                <w:rFonts w:ascii="Aptos" w:hAnsi="Aptos"/>
                <w:b w:val="0"/>
                <w:i w:val="0"/>
                <w:color w:val="24323D"/>
                <w:sz w:val="18"/>
              </w:rPr>
              <w:t>Toute nationalisation, délégation, reprise publique ou changement d'opérateur d'un service essentiel est précédé d'une cartographie des compétences, stocks, données, contrats, systèmes et voies de secours.</w:t>
            </w:r>
          </w:p>
        </w:tc>
      </w:tr>
      <w:tr>
        <w:tc>
          <w:tcPr>
            <w:tcW w:type="dxa" w:w="850"/>
            <w:vAlign w:val="center"/>
          </w:tcPr>
          <w:p>
            <w:r>
              <w:rPr>
                <w:rFonts w:ascii="Aptos" w:hAnsi="Aptos"/>
                <w:b/>
                <w:i w:val="0"/>
                <w:color w:val="17324D"/>
                <w:sz w:val="18"/>
              </w:rPr>
              <w:t>M06</w:t>
            </w:r>
          </w:p>
        </w:tc>
        <w:tc>
          <w:tcPr>
            <w:tcW w:type="dxa" w:w="3500"/>
            <w:vAlign w:val="center"/>
          </w:tcPr>
          <w:p>
            <w:r>
              <w:rPr>
                <w:rFonts w:ascii="Aptos" w:hAnsi="Aptos"/>
                <w:b/>
                <w:i w:val="0"/>
                <w:color w:val="24323D"/>
                <w:sz w:val="18"/>
              </w:rPr>
              <w:t>Gouvernance démocratique des pôles publics et communs stratégiques</w:t>
            </w:r>
          </w:p>
        </w:tc>
        <w:tc>
          <w:tcPr>
            <w:tcW w:type="dxa" w:w="5010"/>
            <w:vAlign w:val="center"/>
          </w:tcPr>
          <w:p>
            <w:r>
              <w:rPr>
                <w:rFonts w:ascii="Aptos" w:hAnsi="Aptos"/>
                <w:b w:val="0"/>
                <w:i w:val="0"/>
                <w:color w:val="24323D"/>
                <w:sz w:val="18"/>
              </w:rPr>
              <w:t>Nationalisations et pôles publics reçoivent un conseil distinct de direction, contrôle et évaluation : salariés, usagers, collectivités, État et expertise indépendante.</w:t>
            </w:r>
          </w:p>
        </w:tc>
      </w:tr>
      <w:tr>
        <w:tc>
          <w:tcPr>
            <w:tcW w:type="dxa" w:w="850"/>
            <w:vAlign w:val="center"/>
          </w:tcPr>
          <w:p>
            <w:r>
              <w:rPr>
                <w:rFonts w:ascii="Aptos" w:hAnsi="Aptos"/>
                <w:b/>
                <w:i w:val="0"/>
                <w:color w:val="17324D"/>
                <w:sz w:val="18"/>
              </w:rPr>
              <w:t>M07</w:t>
            </w:r>
          </w:p>
        </w:tc>
        <w:tc>
          <w:tcPr>
            <w:tcW w:type="dxa" w:w="3500"/>
            <w:vAlign w:val="center"/>
          </w:tcPr>
          <w:p>
            <w:r>
              <w:rPr>
                <w:rFonts w:ascii="Aptos" w:hAnsi="Aptos"/>
                <w:b/>
                <w:i w:val="0"/>
                <w:color w:val="24323D"/>
                <w:sz w:val="18"/>
              </w:rPr>
              <w:t>Droit à une voie non numérique pour les droits vitaux</w:t>
            </w:r>
          </w:p>
        </w:tc>
        <w:tc>
          <w:tcPr>
            <w:tcW w:type="dxa" w:w="5010"/>
            <w:vAlign w:val="center"/>
          </w:tcPr>
          <w:p>
            <w:r>
              <w:rPr>
                <w:rFonts w:ascii="Aptos" w:hAnsi="Aptos"/>
                <w:b w:val="0"/>
                <w:i w:val="0"/>
                <w:color w:val="24323D"/>
                <w:sz w:val="18"/>
              </w:rPr>
              <w:t>Aucun droit à l'eau, à la santé, au logement, au revenu ou au recours ne dépend exclusivement d'une identité, application ou connexion numérique.</w:t>
            </w:r>
          </w:p>
        </w:tc>
      </w:tr>
      <w:tr>
        <w:tc>
          <w:tcPr>
            <w:tcW w:type="dxa" w:w="850"/>
            <w:vAlign w:val="center"/>
          </w:tcPr>
          <w:p>
            <w:r>
              <w:rPr>
                <w:rFonts w:ascii="Aptos" w:hAnsi="Aptos"/>
                <w:b/>
                <w:i w:val="0"/>
                <w:color w:val="17324D"/>
                <w:sz w:val="18"/>
              </w:rPr>
              <w:t>M08</w:t>
            </w:r>
          </w:p>
        </w:tc>
        <w:tc>
          <w:tcPr>
            <w:tcW w:type="dxa" w:w="3500"/>
            <w:vAlign w:val="center"/>
          </w:tcPr>
          <w:p>
            <w:r>
              <w:rPr>
                <w:rFonts w:ascii="Aptos" w:hAnsi="Aptos"/>
                <w:b/>
                <w:i w:val="0"/>
                <w:color w:val="24323D"/>
                <w:sz w:val="18"/>
              </w:rPr>
              <w:t>Défenseur territorial des droits portables</w:t>
            </w:r>
          </w:p>
        </w:tc>
        <w:tc>
          <w:tcPr>
            <w:tcW w:type="dxa" w:w="5010"/>
            <w:vAlign w:val="center"/>
          </w:tcPr>
          <w:p>
            <w:r>
              <w:rPr>
                <w:rFonts w:ascii="Aptos" w:hAnsi="Aptos"/>
                <w:b w:val="0"/>
                <w:i w:val="0"/>
                <w:color w:val="24323D"/>
                <w:sz w:val="18"/>
              </w:rPr>
              <w:t>Une porte d'entrée unique, adossée au Défenseur des droits et aux réseaux territoriaux, oriente les personnes confrontées à une rupture de droit interterritoriale ou administrative.</w:t>
            </w:r>
          </w:p>
        </w:tc>
      </w:tr>
      <w:tr>
        <w:tc>
          <w:tcPr>
            <w:tcW w:type="dxa" w:w="850"/>
            <w:vAlign w:val="center"/>
          </w:tcPr>
          <w:p>
            <w:r>
              <w:rPr>
                <w:rFonts w:ascii="Aptos" w:hAnsi="Aptos"/>
                <w:b/>
                <w:i w:val="0"/>
                <w:color w:val="17324D"/>
                <w:sz w:val="18"/>
              </w:rPr>
              <w:t>M09</w:t>
            </w:r>
          </w:p>
        </w:tc>
        <w:tc>
          <w:tcPr>
            <w:tcW w:type="dxa" w:w="3500"/>
            <w:vAlign w:val="center"/>
          </w:tcPr>
          <w:p>
            <w:r>
              <w:rPr>
                <w:rFonts w:ascii="Aptos" w:hAnsi="Aptos"/>
                <w:b/>
                <w:i w:val="0"/>
                <w:color w:val="24323D"/>
                <w:sz w:val="18"/>
              </w:rPr>
              <w:t>Extinction matérielle des pouvoirs d'urgence</w:t>
            </w:r>
          </w:p>
        </w:tc>
        <w:tc>
          <w:tcPr>
            <w:tcW w:type="dxa" w:w="5010"/>
            <w:vAlign w:val="center"/>
          </w:tcPr>
          <w:p>
            <w:r>
              <w:rPr>
                <w:rFonts w:ascii="Aptos" w:hAnsi="Aptos"/>
                <w:b w:val="0"/>
                <w:i w:val="0"/>
                <w:color w:val="24323D"/>
                <w:sz w:val="18"/>
              </w:rPr>
              <w:t>Toute mesure exceptionnelle comporte des clés distinctes d'activation, de prolongation, de suspension et de certification de fin ; elle expire sans renouvellement explicite.</w:t>
            </w:r>
          </w:p>
        </w:tc>
      </w:tr>
      <w:tr>
        <w:tc>
          <w:tcPr>
            <w:tcW w:type="dxa" w:w="850"/>
            <w:vAlign w:val="center"/>
          </w:tcPr>
          <w:p>
            <w:r>
              <w:rPr>
                <w:rFonts w:ascii="Aptos" w:hAnsi="Aptos"/>
                <w:b/>
                <w:i w:val="0"/>
                <w:color w:val="17324D"/>
                <w:sz w:val="18"/>
              </w:rPr>
              <w:t>M10</w:t>
            </w:r>
          </w:p>
        </w:tc>
        <w:tc>
          <w:tcPr>
            <w:tcW w:type="dxa" w:w="3500"/>
            <w:vAlign w:val="center"/>
          </w:tcPr>
          <w:p>
            <w:r>
              <w:rPr>
                <w:rFonts w:ascii="Aptos" w:hAnsi="Aptos"/>
                <w:b/>
                <w:i w:val="0"/>
                <w:color w:val="24323D"/>
                <w:sz w:val="18"/>
              </w:rPr>
              <w:t>Budget de charge démocratique</w:t>
            </w:r>
          </w:p>
        </w:tc>
        <w:tc>
          <w:tcPr>
            <w:tcW w:type="dxa" w:w="5010"/>
            <w:vAlign w:val="center"/>
          </w:tcPr>
          <w:p>
            <w:r>
              <w:rPr>
                <w:rFonts w:ascii="Aptos" w:hAnsi="Aptos"/>
                <w:b w:val="0"/>
                <w:i w:val="0"/>
                <w:color w:val="24323D"/>
                <w:sz w:val="18"/>
              </w:rPr>
              <w:t>Toute réforme mesure le temps, les déplacements, les pièces, la traduction, l'assistance et les points de veto qu'elle impose aux personnes.</w:t>
            </w:r>
          </w:p>
        </w:tc>
      </w:tr>
      <w:tr>
        <w:tc>
          <w:tcPr>
            <w:tcW w:type="dxa" w:w="850"/>
            <w:vAlign w:val="center"/>
          </w:tcPr>
          <w:p>
            <w:r>
              <w:rPr>
                <w:rFonts w:ascii="Aptos" w:hAnsi="Aptos"/>
                <w:b/>
                <w:i w:val="0"/>
                <w:color w:val="17324D"/>
                <w:sz w:val="18"/>
              </w:rPr>
              <w:t>M11</w:t>
            </w:r>
          </w:p>
        </w:tc>
        <w:tc>
          <w:tcPr>
            <w:tcW w:type="dxa" w:w="3500"/>
            <w:vAlign w:val="center"/>
          </w:tcPr>
          <w:p>
            <w:r>
              <w:rPr>
                <w:rFonts w:ascii="Aptos" w:hAnsi="Aptos"/>
                <w:b/>
                <w:i w:val="0"/>
                <w:color w:val="24323D"/>
                <w:sz w:val="18"/>
              </w:rPr>
              <w:t>Clause sociale et écologique de capacité dans la commande publique</w:t>
            </w:r>
          </w:p>
        </w:tc>
        <w:tc>
          <w:tcPr>
            <w:tcW w:type="dxa" w:w="5010"/>
            <w:vAlign w:val="center"/>
          </w:tcPr>
          <w:p>
            <w:r>
              <w:rPr>
                <w:rFonts w:ascii="Aptos" w:hAnsi="Aptos"/>
                <w:b w:val="0"/>
                <w:i w:val="0"/>
                <w:color w:val="24323D"/>
                <w:sz w:val="18"/>
              </w:rPr>
              <w:t>Les achats publics soutiennent les filières nécessaires à la transition à condition de documenter emploi, conditions de travail, empreinte, réparabilité, dépendances et continuité.</w:t>
            </w:r>
          </w:p>
        </w:tc>
      </w:tr>
      <w:tr>
        <w:tc>
          <w:tcPr>
            <w:tcW w:type="dxa" w:w="850"/>
            <w:vAlign w:val="center"/>
          </w:tcPr>
          <w:p>
            <w:r>
              <w:rPr>
                <w:rFonts w:ascii="Aptos" w:hAnsi="Aptos"/>
                <w:b/>
                <w:i w:val="0"/>
                <w:color w:val="17324D"/>
                <w:sz w:val="18"/>
              </w:rPr>
              <w:t>M12</w:t>
            </w:r>
          </w:p>
        </w:tc>
        <w:tc>
          <w:tcPr>
            <w:tcW w:type="dxa" w:w="3500"/>
            <w:vAlign w:val="center"/>
          </w:tcPr>
          <w:p>
            <w:r>
              <w:rPr>
                <w:rFonts w:ascii="Aptos" w:hAnsi="Aptos"/>
                <w:b/>
                <w:i w:val="0"/>
                <w:color w:val="24323D"/>
                <w:sz w:val="18"/>
              </w:rPr>
              <w:t>Comptabilité écologique et sociale contradictoire</w:t>
            </w:r>
          </w:p>
        </w:tc>
        <w:tc>
          <w:tcPr>
            <w:tcW w:type="dxa" w:w="5010"/>
            <w:vAlign w:val="center"/>
          </w:tcPr>
          <w:p>
            <w:r>
              <w:rPr>
                <w:rFonts w:ascii="Aptos" w:hAnsi="Aptos"/>
                <w:b w:val="0"/>
                <w:i w:val="0"/>
                <w:color w:val="24323D"/>
                <w:sz w:val="18"/>
              </w:rPr>
              <w:t>Les décisions d'investissement public publient au moins une mesure rivale des effets sociaux et écologiques, leurs hypothèses et les données brutes accessibles.</w:t>
            </w:r>
          </w:p>
        </w:tc>
      </w:tr>
      <w:tr>
        <w:tc>
          <w:tcPr>
            <w:tcW w:type="dxa" w:w="850"/>
            <w:vAlign w:val="center"/>
          </w:tcPr>
          <w:p>
            <w:r>
              <w:rPr>
                <w:rFonts w:ascii="Aptos" w:hAnsi="Aptos"/>
                <w:b/>
                <w:i w:val="0"/>
                <w:color w:val="17324D"/>
                <w:sz w:val="18"/>
              </w:rPr>
              <w:t>M13</w:t>
            </w:r>
          </w:p>
        </w:tc>
        <w:tc>
          <w:tcPr>
            <w:tcW w:type="dxa" w:w="3500"/>
            <w:vAlign w:val="center"/>
          </w:tcPr>
          <w:p>
            <w:r>
              <w:rPr>
                <w:rFonts w:ascii="Aptos" w:hAnsi="Aptos"/>
                <w:b/>
                <w:i w:val="0"/>
                <w:color w:val="24323D"/>
                <w:sz w:val="18"/>
              </w:rPr>
              <w:t>Fonds de continuité et de réparation territoriale</w:t>
            </w:r>
          </w:p>
        </w:tc>
        <w:tc>
          <w:tcPr>
            <w:tcW w:type="dxa" w:w="5010"/>
            <w:vAlign w:val="center"/>
          </w:tcPr>
          <w:p>
            <w:r>
              <w:rPr>
                <w:rFonts w:ascii="Aptos" w:hAnsi="Aptos"/>
                <w:b w:val="0"/>
                <w:i w:val="0"/>
                <w:color w:val="24323D"/>
                <w:sz w:val="18"/>
              </w:rPr>
              <w:t>Financer les voies de secours, l'adaptation, la restauration de service et la réparation des dommages de transition, avant qu'une crise ne transfère le coût aux ménages et collectivités les plus fragiles.</w:t>
            </w:r>
          </w:p>
        </w:tc>
      </w:tr>
      <w:tr>
        <w:tc>
          <w:tcPr>
            <w:tcW w:type="dxa" w:w="850"/>
            <w:vAlign w:val="center"/>
          </w:tcPr>
          <w:p>
            <w:r>
              <w:rPr>
                <w:rFonts w:ascii="Aptos" w:hAnsi="Aptos"/>
                <w:b/>
                <w:i w:val="0"/>
                <w:color w:val="17324D"/>
                <w:sz w:val="18"/>
              </w:rPr>
              <w:t>M14</w:t>
            </w:r>
          </w:p>
        </w:tc>
        <w:tc>
          <w:tcPr>
            <w:tcW w:type="dxa" w:w="3500"/>
            <w:vAlign w:val="center"/>
          </w:tcPr>
          <w:p>
            <w:r>
              <w:rPr>
                <w:rFonts w:ascii="Aptos" w:hAnsi="Aptos"/>
                <w:b/>
                <w:i w:val="0"/>
                <w:color w:val="24323D"/>
                <w:sz w:val="18"/>
              </w:rPr>
              <w:t>Droit d'alerte et de reprise des entreprises d'infrastructure abandonnées</w:t>
            </w:r>
          </w:p>
        </w:tc>
        <w:tc>
          <w:tcPr>
            <w:tcW w:type="dxa" w:w="5010"/>
            <w:vAlign w:val="center"/>
          </w:tcPr>
          <w:p>
            <w:r>
              <w:rPr>
                <w:rFonts w:ascii="Aptos" w:hAnsi="Aptos"/>
                <w:b w:val="0"/>
                <w:i w:val="0"/>
                <w:color w:val="24323D"/>
                <w:sz w:val="18"/>
              </w:rPr>
              <w:t>Salariés, usagers et collectivités peuvent déclencher un examen de continuité et, sous conditions strictes, une reprise publique ou coopérative d'une activité vitale abandonnée.</w:t>
            </w:r>
          </w:p>
        </w:tc>
      </w:tr>
      <w:tr>
        <w:tc>
          <w:tcPr>
            <w:tcW w:type="dxa" w:w="850"/>
            <w:vAlign w:val="center"/>
          </w:tcPr>
          <w:p>
            <w:r>
              <w:rPr>
                <w:rFonts w:ascii="Aptos" w:hAnsi="Aptos"/>
                <w:b/>
                <w:i w:val="0"/>
                <w:color w:val="17324D"/>
                <w:sz w:val="18"/>
              </w:rPr>
              <w:t>M15</w:t>
            </w:r>
          </w:p>
        </w:tc>
        <w:tc>
          <w:tcPr>
            <w:tcW w:type="dxa" w:w="3500"/>
            <w:vAlign w:val="center"/>
          </w:tcPr>
          <w:p>
            <w:r>
              <w:rPr>
                <w:rFonts w:ascii="Aptos" w:hAnsi="Aptos"/>
                <w:b/>
                <w:i w:val="0"/>
                <w:color w:val="24323D"/>
                <w:sz w:val="18"/>
              </w:rPr>
              <w:t>Convention citoyenne permanente de suivi de la bifurcation</w:t>
            </w:r>
          </w:p>
        </w:tc>
        <w:tc>
          <w:tcPr>
            <w:tcW w:type="dxa" w:w="5010"/>
            <w:vAlign w:val="center"/>
          </w:tcPr>
          <w:p>
            <w:r>
              <w:rPr>
                <w:rFonts w:ascii="Aptos" w:hAnsi="Aptos"/>
                <w:b w:val="0"/>
                <w:i w:val="0"/>
                <w:color w:val="24323D"/>
                <w:sz w:val="18"/>
              </w:rPr>
              <w:t>Une assemblée citoyenne tirée au sort suit les objectifs, reçoit les désaccords publics, peut exiger une contre-enquête et saisir le Parlement.</w:t>
            </w:r>
          </w:p>
        </w:tc>
      </w:tr>
    </w:tbl>
    <w:p>
      <w:r>
        <w:br w:type="page"/>
      </w:r>
    </w:p>
    <w:p>
      <w:pPr>
        <w:pStyle w:val="Heading1"/>
      </w:pPr>
      <w:r>
        <w:rPr>
          <w:rFonts w:ascii="Aptos" w:hAnsi="Aptos"/>
          <w:b w:val="0"/>
          <w:i w:val="0"/>
          <w:color w:val="24323D"/>
          <w:sz w:val="21"/>
        </w:rPr>
        <w:t>Fiches d'amendement</w:t>
      </w:r>
    </w:p>
    <w:p>
      <w:r>
        <w:rPr>
          <w:rFonts w:ascii="Aptos" w:hAnsi="Aptos"/>
          <w:b w:val="0"/>
          <w:i w:val="0"/>
          <w:color w:val="66737D"/>
          <w:sz w:val="21"/>
        </w:rPr>
        <w:t>Chaque fiche indique l'effet, la voie, le risque et le garde-fou. Les conditions de retrait constituent une discipline : elles empêchent de défendre un dispositif indépendamment de ses effets.</w:t>
      </w:r>
    </w:p>
    <w:p>
      <w:pPr>
        <w:pStyle w:val="Heading2"/>
      </w:pPr>
      <w:r>
        <w:rPr>
          <w:rFonts w:ascii="Aptos" w:hAnsi="Aptos"/>
          <w:b w:val="0"/>
          <w:i w:val="0"/>
          <w:color w:val="24323D"/>
          <w:sz w:val="21"/>
        </w:rPr>
        <w:t>M01 — Loi-cadre de planification écologique démocratique</w:t>
      </w:r>
    </w:p>
    <w:p>
      <w:pPr>
        <w:spacing w:after="80"/>
      </w:pPr>
      <w:r>
        <w:rPr>
          <w:rFonts w:ascii="Aptos" w:hAnsi="Aptos"/>
          <w:b/>
          <w:i w:val="0"/>
          <w:color w:val="17324D"/>
          <w:sz w:val="20"/>
        </w:rPr>
        <w:t xml:space="preserve">Effet. </w:t>
      </w:r>
      <w:r>
        <w:rPr>
          <w:rFonts w:ascii="Aptos" w:hAnsi="Aptos"/>
          <w:b w:val="0"/>
          <w:i w:val="0"/>
          <w:color w:val="24323D"/>
          <w:sz w:val="20"/>
        </w:rPr>
        <w:t>Une loi quinquennale fixe les objectifs physiques, les investissements, les responsabilités sectorielles et les modalités de révision publique.</w:t>
      </w:r>
    </w:p>
    <w:p>
      <w:pPr>
        <w:spacing w:after="80"/>
      </w:pPr>
      <w:r>
        <w:rPr>
          <w:rFonts w:ascii="Aptos" w:hAnsi="Aptos"/>
          <w:b/>
          <w:i w:val="0"/>
          <w:color w:val="17324D"/>
          <w:sz w:val="20"/>
        </w:rPr>
        <w:t xml:space="preserve">Voie. </w:t>
      </w:r>
      <w:r>
        <w:rPr>
          <w:rFonts w:ascii="Aptos" w:hAnsi="Aptos"/>
          <w:b w:val="0"/>
          <w:i w:val="0"/>
          <w:color w:val="24323D"/>
          <w:sz w:val="20"/>
        </w:rPr>
        <w:t>Loi de programmation et lois de finances annuelles.</w:t>
      </w:r>
    </w:p>
    <w:p>
      <w:pPr>
        <w:spacing w:after="80"/>
      </w:pPr>
      <w:r>
        <w:rPr>
          <w:rFonts w:ascii="Aptos" w:hAnsi="Aptos"/>
          <w:b/>
          <w:i w:val="0"/>
          <w:color w:val="17324D"/>
          <w:sz w:val="20"/>
        </w:rPr>
        <w:t xml:space="preserve">Risque. </w:t>
      </w:r>
      <w:r>
        <w:rPr>
          <w:rFonts w:ascii="Aptos" w:hAnsi="Aptos"/>
          <w:b w:val="0"/>
          <w:i w:val="0"/>
          <w:color w:val="24323D"/>
          <w:sz w:val="20"/>
        </w:rPr>
        <w:t>Transformer la programmation en commande centrale sans recours ni capacité locale.</w:t>
      </w:r>
    </w:p>
    <w:p>
      <w:pPr>
        <w:spacing w:after="80"/>
      </w:pPr>
      <w:r>
        <w:rPr>
          <w:rFonts w:ascii="Aptos" w:hAnsi="Aptos"/>
          <w:b/>
          <w:i w:val="0"/>
          <w:color w:val="17324D"/>
          <w:sz w:val="20"/>
        </w:rPr>
        <w:t xml:space="preserve">Garde-fou. </w:t>
      </w:r>
      <w:r>
        <w:rPr>
          <w:rFonts w:ascii="Aptos" w:hAnsi="Aptos"/>
          <w:b w:val="0"/>
          <w:i w:val="0"/>
          <w:color w:val="24323D"/>
          <w:sz w:val="20"/>
        </w:rPr>
        <w:t>Objectifs, données, audit indépendant et voies de recours sont séparés ; une révision ne peut effacer les séries historiques.</w:t>
      </w:r>
    </w:p>
    <w:p>
      <w:pPr>
        <w:spacing w:after="80"/>
      </w:pPr>
      <w:r>
        <w:rPr>
          <w:rFonts w:ascii="Aptos" w:hAnsi="Aptos"/>
          <w:b/>
          <w:i w:val="0"/>
          <w:color w:val="17324D"/>
          <w:sz w:val="20"/>
        </w:rPr>
        <w:t xml:space="preserve">Indicateurs. </w:t>
      </w:r>
      <w:r>
        <w:rPr>
          <w:rFonts w:ascii="Aptos" w:hAnsi="Aptos"/>
          <w:b w:val="0"/>
          <w:i w:val="0"/>
          <w:color w:val="24323D"/>
          <w:sz w:val="20"/>
        </w:rPr>
        <w:t>Émissions territoriales/importées, accès aux services, emploi, délais de recours, charge administrative.</w:t>
      </w:r>
    </w:p>
    <w:p>
      <w:pPr>
        <w:spacing w:after="80"/>
      </w:pPr>
      <w:r>
        <w:rPr>
          <w:rFonts w:ascii="Aptos" w:hAnsi="Aptos"/>
          <w:b/>
          <w:i w:val="0"/>
          <w:color w:val="17324D"/>
          <w:sz w:val="20"/>
        </w:rPr>
        <w:t xml:space="preserve">Retrait. </w:t>
      </w:r>
      <w:r>
        <w:rPr>
          <w:rFonts w:ascii="Aptos" w:hAnsi="Aptos"/>
          <w:b w:val="0"/>
          <w:i w:val="0"/>
          <w:color w:val="24323D"/>
          <w:sz w:val="20"/>
        </w:rPr>
        <w:t>Révision si les objectifs créent durablement plus de privations que des dispositifs rivaux à contraintes égales.</w:t>
      </w:r>
    </w:p>
    <w:p>
      <w:pPr>
        <w:pStyle w:val="Heading2"/>
      </w:pPr>
      <w:r>
        <w:rPr>
          <w:rFonts w:ascii="Aptos" w:hAnsi="Aptos"/>
          <w:b w:val="0"/>
          <w:i w:val="0"/>
          <w:color w:val="24323D"/>
          <w:sz w:val="21"/>
        </w:rPr>
        <w:t>M02 — Conseil de planification pluraliste et droit de contre-expertise</w:t>
      </w:r>
    </w:p>
    <w:p>
      <w:pPr>
        <w:spacing w:after="80"/>
      </w:pPr>
      <w:r>
        <w:rPr>
          <w:rFonts w:ascii="Aptos" w:hAnsi="Aptos"/>
          <w:b/>
          <w:i w:val="0"/>
          <w:color w:val="17324D"/>
          <w:sz w:val="20"/>
        </w:rPr>
        <w:t xml:space="preserve">Effet. </w:t>
      </w:r>
      <w:r>
        <w:rPr>
          <w:rFonts w:ascii="Aptos" w:hAnsi="Aptos"/>
          <w:b w:val="0"/>
          <w:i w:val="0"/>
          <w:color w:val="24323D"/>
          <w:sz w:val="20"/>
        </w:rPr>
        <w:t>Compléter le Conseil de planification écologique par un collège syndical, associatif, territorial et citoyen tiré au sort, doté d'un droit de publication de désaccord et de contre-expertise financée.</w:t>
      </w:r>
    </w:p>
    <w:p>
      <w:pPr>
        <w:spacing w:after="80"/>
      </w:pPr>
      <w:r>
        <w:rPr>
          <w:rFonts w:ascii="Aptos" w:hAnsi="Aptos"/>
          <w:b/>
          <w:i w:val="0"/>
          <w:color w:val="17324D"/>
          <w:sz w:val="20"/>
        </w:rPr>
        <w:t xml:space="preserve">Voie. </w:t>
      </w:r>
      <w:r>
        <w:rPr>
          <w:rFonts w:ascii="Aptos" w:hAnsi="Aptos"/>
          <w:b w:val="0"/>
          <w:i w:val="0"/>
          <w:color w:val="24323D"/>
          <w:sz w:val="20"/>
        </w:rPr>
        <w:t>Loi et décret d'organisation.</w:t>
      </w:r>
    </w:p>
    <w:p>
      <w:pPr>
        <w:spacing w:after="80"/>
      </w:pPr>
      <w:r>
        <w:rPr>
          <w:rFonts w:ascii="Aptos" w:hAnsi="Aptos"/>
          <w:b/>
          <w:i w:val="0"/>
          <w:color w:val="17324D"/>
          <w:sz w:val="20"/>
        </w:rPr>
        <w:t xml:space="preserve">Risque. </w:t>
      </w:r>
      <w:r>
        <w:rPr>
          <w:rFonts w:ascii="Aptos" w:hAnsi="Aptos"/>
          <w:b w:val="0"/>
          <w:i w:val="0"/>
          <w:color w:val="24323D"/>
          <w:sz w:val="20"/>
        </w:rPr>
        <w:t>Recréer un veto ou une expertise de façade.</w:t>
      </w:r>
    </w:p>
    <w:p>
      <w:pPr>
        <w:spacing w:after="80"/>
      </w:pPr>
      <w:r>
        <w:rPr>
          <w:rFonts w:ascii="Aptos" w:hAnsi="Aptos"/>
          <w:b/>
          <w:i w:val="0"/>
          <w:color w:val="17324D"/>
          <w:sz w:val="20"/>
        </w:rPr>
        <w:t xml:space="preserve">Garde-fou. </w:t>
      </w:r>
      <w:r>
        <w:rPr>
          <w:rFonts w:ascii="Aptos" w:hAnsi="Aptos"/>
          <w:b w:val="0"/>
          <w:i w:val="0"/>
          <w:color w:val="24323D"/>
          <w:sz w:val="20"/>
        </w:rPr>
        <w:t>Mandats courts, publication des intérêts, délais de réponse, recours juridictionnel.</w:t>
      </w:r>
    </w:p>
    <w:p>
      <w:pPr>
        <w:spacing w:after="80"/>
      </w:pPr>
      <w:r>
        <w:rPr>
          <w:rFonts w:ascii="Aptos" w:hAnsi="Aptos"/>
          <w:b/>
          <w:i w:val="0"/>
          <w:color w:val="17324D"/>
          <w:sz w:val="20"/>
        </w:rPr>
        <w:t xml:space="preserve">Indicateurs. </w:t>
      </w:r>
      <w:r>
        <w:rPr>
          <w:rFonts w:ascii="Aptos" w:hAnsi="Aptos"/>
          <w:b w:val="0"/>
          <w:i w:val="0"/>
          <w:color w:val="24323D"/>
          <w:sz w:val="20"/>
        </w:rPr>
        <w:t>Nombre de contre-expertises, décisions modifiées, délais et diversité sociale des participant·es.</w:t>
      </w:r>
    </w:p>
    <w:p>
      <w:pPr>
        <w:pStyle w:val="Heading2"/>
      </w:pPr>
      <w:r>
        <w:rPr>
          <w:rFonts w:ascii="Aptos" w:hAnsi="Aptos"/>
          <w:b w:val="0"/>
          <w:i w:val="0"/>
          <w:color w:val="24323D"/>
          <w:sz w:val="21"/>
        </w:rPr>
        <w:t>M03 — Communs de bassin versant et contrats de solidarité hydrique</w:t>
      </w:r>
    </w:p>
    <w:p>
      <w:pPr>
        <w:spacing w:after="80"/>
      </w:pPr>
      <w:r>
        <w:rPr>
          <w:rFonts w:ascii="Aptos" w:hAnsi="Aptos"/>
          <w:b/>
          <w:i w:val="0"/>
          <w:color w:val="17324D"/>
          <w:sz w:val="20"/>
        </w:rPr>
        <w:t xml:space="preserve">Effet. </w:t>
      </w:r>
      <w:r>
        <w:rPr>
          <w:rFonts w:ascii="Aptos" w:hAnsi="Aptos"/>
          <w:b w:val="0"/>
          <w:i w:val="0"/>
          <w:color w:val="24323D"/>
          <w:sz w:val="20"/>
        </w:rPr>
        <w:t>Donner aux bassins versants une gouvernance publique multi-acteurs de l'eau : collectivités, usagers domestiques, salariés, agriculteurs, scientifiques et associations.</w:t>
      </w:r>
    </w:p>
    <w:p>
      <w:pPr>
        <w:spacing w:after="80"/>
      </w:pPr>
      <w:r>
        <w:rPr>
          <w:rFonts w:ascii="Aptos" w:hAnsi="Aptos"/>
          <w:b/>
          <w:i w:val="0"/>
          <w:color w:val="17324D"/>
          <w:sz w:val="20"/>
        </w:rPr>
        <w:t xml:space="preserve">Voie. </w:t>
      </w:r>
      <w:r>
        <w:rPr>
          <w:rFonts w:ascii="Aptos" w:hAnsi="Aptos"/>
          <w:b w:val="0"/>
          <w:i w:val="0"/>
          <w:color w:val="24323D"/>
          <w:sz w:val="20"/>
        </w:rPr>
        <w:t>Loi sur l'eau, compétences des agences et contrats État-collectivités.</w:t>
      </w:r>
    </w:p>
    <w:p>
      <w:pPr>
        <w:spacing w:after="80"/>
      </w:pPr>
      <w:r>
        <w:rPr>
          <w:rFonts w:ascii="Aptos" w:hAnsi="Aptos"/>
          <w:b/>
          <w:i w:val="0"/>
          <w:color w:val="17324D"/>
          <w:sz w:val="20"/>
        </w:rPr>
        <w:t xml:space="preserve">Risque. </w:t>
      </w:r>
      <w:r>
        <w:rPr>
          <w:rFonts w:ascii="Aptos" w:hAnsi="Aptos"/>
          <w:b w:val="0"/>
          <w:i w:val="0"/>
          <w:color w:val="24323D"/>
          <w:sz w:val="20"/>
        </w:rPr>
        <w:t>Capture par les grands usagers.</w:t>
      </w:r>
    </w:p>
    <w:p>
      <w:pPr>
        <w:spacing w:after="80"/>
      </w:pPr>
      <w:r>
        <w:rPr>
          <w:rFonts w:ascii="Aptos" w:hAnsi="Aptos"/>
          <w:b/>
          <w:i w:val="0"/>
          <w:color w:val="17324D"/>
          <w:sz w:val="20"/>
        </w:rPr>
        <w:t xml:space="preserve">Garde-fou. </w:t>
      </w:r>
      <w:r>
        <w:rPr>
          <w:rFonts w:ascii="Aptos" w:hAnsi="Aptos"/>
          <w:b w:val="0"/>
          <w:i w:val="0"/>
          <w:color w:val="24323D"/>
          <w:sz w:val="20"/>
        </w:rPr>
        <w:t>Registre public des prélèvements, représentation non proportionnelle au volume, accès vital prioritaire, appel indépendant.</w:t>
      </w:r>
    </w:p>
    <w:p>
      <w:pPr>
        <w:spacing w:after="80"/>
      </w:pPr>
      <w:r>
        <w:rPr>
          <w:rFonts w:ascii="Aptos" w:hAnsi="Aptos"/>
          <w:b/>
          <w:i w:val="0"/>
          <w:color w:val="17324D"/>
          <w:sz w:val="20"/>
        </w:rPr>
        <w:t xml:space="preserve">Indicateurs. </w:t>
      </w:r>
      <w:r>
        <w:rPr>
          <w:rFonts w:ascii="Aptos" w:hAnsi="Aptos"/>
          <w:b w:val="0"/>
          <w:i w:val="0"/>
          <w:color w:val="24323D"/>
          <w:sz w:val="20"/>
        </w:rPr>
        <w:t>Prélèvements, qualité, continuité d'accès, recours, distribution des restrictions.</w:t>
      </w:r>
    </w:p>
    <w:p>
      <w:pPr>
        <w:pStyle w:val="Heading2"/>
      </w:pPr>
      <w:r>
        <w:rPr>
          <w:rFonts w:ascii="Aptos" w:hAnsi="Aptos"/>
          <w:b w:val="0"/>
          <w:i w:val="0"/>
          <w:color w:val="24323D"/>
          <w:sz w:val="21"/>
        </w:rPr>
        <w:t>M04 — Registre public des dépendances vitales</w:t>
      </w:r>
    </w:p>
    <w:p>
      <w:pPr>
        <w:spacing w:after="80"/>
      </w:pPr>
      <w:r>
        <w:rPr>
          <w:rFonts w:ascii="Aptos" w:hAnsi="Aptos"/>
          <w:b/>
          <w:i w:val="0"/>
          <w:color w:val="17324D"/>
          <w:sz w:val="20"/>
        </w:rPr>
        <w:t xml:space="preserve">Effet. </w:t>
      </w:r>
      <w:r>
        <w:rPr>
          <w:rFonts w:ascii="Aptos" w:hAnsi="Aptos"/>
          <w:b w:val="0"/>
          <w:i w:val="0"/>
          <w:color w:val="24323D"/>
          <w:sz w:val="20"/>
        </w:rPr>
        <w:t>Pour eau, énergie, soins, paiements, communications et alimentation, publier les dépendances critiques, points uniques de défaillance, solutions de secours et autorités d'arrêt.</w:t>
      </w:r>
    </w:p>
    <w:p>
      <w:pPr>
        <w:spacing w:after="80"/>
      </w:pPr>
      <w:r>
        <w:rPr>
          <w:rFonts w:ascii="Aptos" w:hAnsi="Aptos"/>
          <w:b/>
          <w:i w:val="0"/>
          <w:color w:val="17324D"/>
          <w:sz w:val="20"/>
        </w:rPr>
        <w:t xml:space="preserve">Voie. </w:t>
      </w:r>
      <w:r>
        <w:rPr>
          <w:rFonts w:ascii="Aptos" w:hAnsi="Aptos"/>
          <w:b w:val="0"/>
          <w:i w:val="0"/>
          <w:color w:val="24323D"/>
          <w:sz w:val="20"/>
        </w:rPr>
        <w:t>Loi sectorielle et obligations de service public, avec protection des détails opérationnels sensibles.</w:t>
      </w:r>
    </w:p>
    <w:p>
      <w:pPr>
        <w:spacing w:after="80"/>
      </w:pPr>
      <w:r>
        <w:rPr>
          <w:rFonts w:ascii="Aptos" w:hAnsi="Aptos"/>
          <w:b/>
          <w:i w:val="0"/>
          <w:color w:val="17324D"/>
          <w:sz w:val="20"/>
        </w:rPr>
        <w:t xml:space="preserve">Risque. </w:t>
      </w:r>
      <w:r>
        <w:rPr>
          <w:rFonts w:ascii="Aptos" w:hAnsi="Aptos"/>
          <w:b w:val="0"/>
          <w:i w:val="0"/>
          <w:color w:val="24323D"/>
          <w:sz w:val="20"/>
        </w:rPr>
        <w:t>Divulgation utile à une attaque.</w:t>
      </w:r>
    </w:p>
    <w:p>
      <w:pPr>
        <w:spacing w:after="80"/>
      </w:pPr>
      <w:r>
        <w:rPr>
          <w:rFonts w:ascii="Aptos" w:hAnsi="Aptos"/>
          <w:b/>
          <w:i w:val="0"/>
          <w:color w:val="17324D"/>
          <w:sz w:val="20"/>
        </w:rPr>
        <w:t xml:space="preserve">Garde-fou. </w:t>
      </w:r>
      <w:r>
        <w:rPr>
          <w:rFonts w:ascii="Aptos" w:hAnsi="Aptos"/>
          <w:b w:val="0"/>
          <w:i w:val="0"/>
          <w:color w:val="24323D"/>
          <w:sz w:val="20"/>
        </w:rPr>
        <w:t>Publication en deux niveaux : information citoyenne et annexe protégée contrôlée.</w:t>
      </w:r>
    </w:p>
    <w:p>
      <w:pPr>
        <w:spacing w:after="80"/>
      </w:pPr>
      <w:r>
        <w:rPr>
          <w:rFonts w:ascii="Aptos" w:hAnsi="Aptos"/>
          <w:b/>
          <w:i w:val="0"/>
          <w:color w:val="17324D"/>
          <w:sz w:val="20"/>
        </w:rPr>
        <w:t xml:space="preserve">Indicateurs. </w:t>
      </w:r>
      <w:r>
        <w:rPr>
          <w:rFonts w:ascii="Aptos" w:hAnsi="Aptos"/>
          <w:b w:val="0"/>
          <w:i w:val="0"/>
          <w:color w:val="24323D"/>
          <w:sz w:val="20"/>
        </w:rPr>
        <w:t>Couverture des services, nombre de dépendances uniques réduites, exercices de continuité.</w:t>
      </w:r>
    </w:p>
    <w:p>
      <w:pPr>
        <w:pStyle w:val="Heading2"/>
      </w:pPr>
      <w:r>
        <w:rPr>
          <w:rFonts w:ascii="Aptos" w:hAnsi="Aptos"/>
          <w:b w:val="0"/>
          <w:i w:val="0"/>
          <w:color w:val="24323D"/>
          <w:sz w:val="21"/>
        </w:rPr>
        <w:t>M05 — Porte de capacité avant tout transfert de service essentiel</w:t>
      </w:r>
    </w:p>
    <w:p>
      <w:pPr>
        <w:spacing w:after="80"/>
      </w:pPr>
      <w:r>
        <w:rPr>
          <w:rFonts w:ascii="Aptos" w:hAnsi="Aptos"/>
          <w:b/>
          <w:i w:val="0"/>
          <w:color w:val="17324D"/>
          <w:sz w:val="20"/>
        </w:rPr>
        <w:t xml:space="preserve">Effet. </w:t>
      </w:r>
      <w:r>
        <w:rPr>
          <w:rFonts w:ascii="Aptos" w:hAnsi="Aptos"/>
          <w:b w:val="0"/>
          <w:i w:val="0"/>
          <w:color w:val="24323D"/>
          <w:sz w:val="20"/>
        </w:rPr>
        <w:t>Toute nationalisation, délégation, reprise publique ou changement d'opérateur d'un service essentiel est précédé d'une cartographie des compétences, stocks, données, contrats, systèmes et voies de secours.</w:t>
      </w:r>
    </w:p>
    <w:p>
      <w:pPr>
        <w:spacing w:after="80"/>
      </w:pPr>
      <w:r>
        <w:rPr>
          <w:rFonts w:ascii="Aptos" w:hAnsi="Aptos"/>
          <w:b/>
          <w:i w:val="0"/>
          <w:color w:val="17324D"/>
          <w:sz w:val="20"/>
        </w:rPr>
        <w:t xml:space="preserve">Voie. </w:t>
      </w:r>
      <w:r>
        <w:rPr>
          <w:rFonts w:ascii="Aptos" w:hAnsi="Aptos"/>
          <w:b w:val="0"/>
          <w:i w:val="0"/>
          <w:color w:val="24323D"/>
          <w:sz w:val="20"/>
        </w:rPr>
        <w:t>Clauses législatives sectorielles et cahiers des charges.</w:t>
      </w:r>
    </w:p>
    <w:p>
      <w:pPr>
        <w:spacing w:after="80"/>
      </w:pPr>
      <w:r>
        <w:rPr>
          <w:rFonts w:ascii="Aptos" w:hAnsi="Aptos"/>
          <w:b/>
          <w:i w:val="0"/>
          <w:color w:val="17324D"/>
          <w:sz w:val="20"/>
        </w:rPr>
        <w:t xml:space="preserve">Risque. </w:t>
      </w:r>
      <w:r>
        <w:rPr>
          <w:rFonts w:ascii="Aptos" w:hAnsi="Aptos"/>
          <w:b w:val="0"/>
          <w:i w:val="0"/>
          <w:color w:val="24323D"/>
          <w:sz w:val="20"/>
        </w:rPr>
        <w:t>Veto dilatoire de l'opérateur sortant.</w:t>
      </w:r>
    </w:p>
    <w:p>
      <w:pPr>
        <w:spacing w:after="80"/>
      </w:pPr>
      <w:r>
        <w:rPr>
          <w:rFonts w:ascii="Aptos" w:hAnsi="Aptos"/>
          <w:b/>
          <w:i w:val="0"/>
          <w:color w:val="17324D"/>
          <w:sz w:val="20"/>
        </w:rPr>
        <w:t xml:space="preserve">Garde-fou. </w:t>
      </w:r>
      <w:r>
        <w:rPr>
          <w:rFonts w:ascii="Aptos" w:hAnsi="Aptos"/>
          <w:b w:val="0"/>
          <w:i w:val="0"/>
          <w:color w:val="24323D"/>
          <w:sz w:val="20"/>
        </w:rPr>
        <w:t>Échéance, responsable public, accès aux informations essentielles et suspension du transfert si la continuité n'est pas vérifiable.</w:t>
      </w:r>
    </w:p>
    <w:p>
      <w:pPr>
        <w:spacing w:after="80"/>
      </w:pPr>
      <w:r>
        <w:rPr>
          <w:rFonts w:ascii="Aptos" w:hAnsi="Aptos"/>
          <w:b/>
          <w:i w:val="0"/>
          <w:color w:val="17324D"/>
          <w:sz w:val="20"/>
        </w:rPr>
        <w:t xml:space="preserve">Indicateurs. </w:t>
      </w:r>
      <w:r>
        <w:rPr>
          <w:rFonts w:ascii="Aptos" w:hAnsi="Aptos"/>
          <w:b w:val="0"/>
          <w:i w:val="0"/>
          <w:color w:val="24323D"/>
          <w:sz w:val="20"/>
        </w:rPr>
        <w:t>Interruptions, dépendances découvertes tardivement, délai de restauration.</w:t>
      </w:r>
    </w:p>
    <w:p>
      <w:r>
        <w:br w:type="page"/>
      </w:r>
    </w:p>
    <w:p>
      <w:pPr>
        <w:pStyle w:val="Heading2"/>
      </w:pPr>
      <w:r>
        <w:rPr>
          <w:rFonts w:ascii="Aptos" w:hAnsi="Aptos"/>
          <w:b w:val="0"/>
          <w:i w:val="0"/>
          <w:color w:val="24323D"/>
          <w:sz w:val="21"/>
        </w:rPr>
        <w:t>M06 — Gouvernance démocratique des pôles publics et communs stratégiques</w:t>
      </w:r>
    </w:p>
    <w:p>
      <w:pPr>
        <w:spacing w:after="80"/>
      </w:pPr>
      <w:r>
        <w:rPr>
          <w:rFonts w:ascii="Aptos" w:hAnsi="Aptos"/>
          <w:b/>
          <w:i w:val="0"/>
          <w:color w:val="17324D"/>
          <w:sz w:val="20"/>
        </w:rPr>
        <w:t xml:space="preserve">Effet. </w:t>
      </w:r>
      <w:r>
        <w:rPr>
          <w:rFonts w:ascii="Aptos" w:hAnsi="Aptos"/>
          <w:b w:val="0"/>
          <w:i w:val="0"/>
          <w:color w:val="24323D"/>
          <w:sz w:val="20"/>
        </w:rPr>
        <w:t>Nationalisations et pôles publics reçoivent un conseil distinct de direction, contrôle et évaluation : salariés, usagers, collectivités, État et expertise indépendante.</w:t>
      </w:r>
    </w:p>
    <w:p>
      <w:pPr>
        <w:spacing w:after="80"/>
      </w:pPr>
      <w:r>
        <w:rPr>
          <w:rFonts w:ascii="Aptos" w:hAnsi="Aptos"/>
          <w:b/>
          <w:i w:val="0"/>
          <w:color w:val="17324D"/>
          <w:sz w:val="20"/>
        </w:rPr>
        <w:t xml:space="preserve">Voie. </w:t>
      </w:r>
      <w:r>
        <w:rPr>
          <w:rFonts w:ascii="Aptos" w:hAnsi="Aptos"/>
          <w:b w:val="0"/>
          <w:i w:val="0"/>
          <w:color w:val="24323D"/>
          <w:sz w:val="20"/>
        </w:rPr>
        <w:t>Lois de secteur et statuts d'établissement.</w:t>
      </w:r>
    </w:p>
    <w:p>
      <w:pPr>
        <w:spacing w:after="80"/>
      </w:pPr>
      <w:r>
        <w:rPr>
          <w:rFonts w:ascii="Aptos" w:hAnsi="Aptos"/>
          <w:b/>
          <w:i w:val="0"/>
          <w:color w:val="17324D"/>
          <w:sz w:val="20"/>
        </w:rPr>
        <w:t xml:space="preserve">Risque. </w:t>
      </w:r>
      <w:r>
        <w:rPr>
          <w:rFonts w:ascii="Aptos" w:hAnsi="Aptos"/>
          <w:b w:val="0"/>
          <w:i w:val="0"/>
          <w:color w:val="24323D"/>
          <w:sz w:val="20"/>
        </w:rPr>
        <w:t>Multiplication des organes sans pouvoir réel.</w:t>
      </w:r>
    </w:p>
    <w:p>
      <w:pPr>
        <w:spacing w:after="80"/>
      </w:pPr>
      <w:r>
        <w:rPr>
          <w:rFonts w:ascii="Aptos" w:hAnsi="Aptos"/>
          <w:b/>
          <w:i w:val="0"/>
          <w:color w:val="17324D"/>
          <w:sz w:val="20"/>
        </w:rPr>
        <w:t xml:space="preserve">Garde-fou. </w:t>
      </w:r>
      <w:r>
        <w:rPr>
          <w:rFonts w:ascii="Aptos" w:hAnsi="Aptos"/>
          <w:b w:val="0"/>
          <w:i w:val="0"/>
          <w:color w:val="24323D"/>
          <w:sz w:val="20"/>
        </w:rPr>
        <w:t>Mandats, données, budget et droit de saisine définis ; publication des décisions et des conflits d'intérêts.</w:t>
      </w:r>
    </w:p>
    <w:p>
      <w:pPr>
        <w:spacing w:after="80"/>
      </w:pPr>
      <w:r>
        <w:rPr>
          <w:rFonts w:ascii="Aptos" w:hAnsi="Aptos"/>
          <w:b/>
          <w:i w:val="0"/>
          <w:color w:val="17324D"/>
          <w:sz w:val="20"/>
        </w:rPr>
        <w:t xml:space="preserve">Indicateurs. </w:t>
      </w:r>
      <w:r>
        <w:rPr>
          <w:rFonts w:ascii="Aptos" w:hAnsi="Aptos"/>
          <w:b w:val="0"/>
          <w:i w:val="0"/>
          <w:color w:val="24323D"/>
          <w:sz w:val="20"/>
        </w:rPr>
        <w:t>Concentration des décisions, recours, délai de correction, continuité du service.</w:t>
      </w:r>
    </w:p>
    <w:p>
      <w:pPr>
        <w:pStyle w:val="Heading2"/>
      </w:pPr>
      <w:r>
        <w:rPr>
          <w:rFonts w:ascii="Aptos" w:hAnsi="Aptos"/>
          <w:b w:val="0"/>
          <w:i w:val="0"/>
          <w:color w:val="24323D"/>
          <w:sz w:val="21"/>
        </w:rPr>
        <w:t>M07 — Droit à une voie non numérique pour les droits vitaux</w:t>
      </w:r>
    </w:p>
    <w:p>
      <w:pPr>
        <w:spacing w:after="80"/>
      </w:pPr>
      <w:r>
        <w:rPr>
          <w:rFonts w:ascii="Aptos" w:hAnsi="Aptos"/>
          <w:b/>
          <w:i w:val="0"/>
          <w:color w:val="17324D"/>
          <w:sz w:val="20"/>
        </w:rPr>
        <w:t xml:space="preserve">Effet. </w:t>
      </w:r>
      <w:r>
        <w:rPr>
          <w:rFonts w:ascii="Aptos" w:hAnsi="Aptos"/>
          <w:b w:val="0"/>
          <w:i w:val="0"/>
          <w:color w:val="24323D"/>
          <w:sz w:val="20"/>
        </w:rPr>
        <w:t>Aucun droit à l'eau, à la santé, au logement, au revenu ou au recours ne dépend exclusivement d'une identité, application ou connexion numérique.</w:t>
      </w:r>
    </w:p>
    <w:p>
      <w:pPr>
        <w:spacing w:after="80"/>
      </w:pPr>
      <w:r>
        <w:rPr>
          <w:rFonts w:ascii="Aptos" w:hAnsi="Aptos"/>
          <w:b/>
          <w:i w:val="0"/>
          <w:color w:val="17324D"/>
          <w:sz w:val="20"/>
        </w:rPr>
        <w:t xml:space="preserve">Voie. </w:t>
      </w:r>
      <w:r>
        <w:rPr>
          <w:rFonts w:ascii="Aptos" w:hAnsi="Aptos"/>
          <w:b w:val="0"/>
          <w:i w:val="0"/>
          <w:color w:val="24323D"/>
          <w:sz w:val="20"/>
        </w:rPr>
        <w:t>Loi sur les services publics et règlements de chaque opérateur.</w:t>
      </w:r>
    </w:p>
    <w:p>
      <w:pPr>
        <w:spacing w:after="80"/>
      </w:pPr>
      <w:r>
        <w:rPr>
          <w:rFonts w:ascii="Aptos" w:hAnsi="Aptos"/>
          <w:b/>
          <w:i w:val="0"/>
          <w:color w:val="17324D"/>
          <w:sz w:val="20"/>
        </w:rPr>
        <w:t xml:space="preserve">Risque. </w:t>
      </w:r>
      <w:r>
        <w:rPr>
          <w:rFonts w:ascii="Aptos" w:hAnsi="Aptos"/>
          <w:b w:val="0"/>
          <w:i w:val="0"/>
          <w:color w:val="24323D"/>
          <w:sz w:val="20"/>
        </w:rPr>
        <w:t>Fraude ou surcharge de guichet.</w:t>
      </w:r>
    </w:p>
    <w:p>
      <w:pPr>
        <w:spacing w:after="80"/>
      </w:pPr>
      <w:r>
        <w:rPr>
          <w:rFonts w:ascii="Aptos" w:hAnsi="Aptos"/>
          <w:b/>
          <w:i w:val="0"/>
          <w:color w:val="17324D"/>
          <w:sz w:val="20"/>
        </w:rPr>
        <w:t xml:space="preserve">Garde-fou. </w:t>
      </w:r>
      <w:r>
        <w:rPr>
          <w:rFonts w:ascii="Aptos" w:hAnsi="Aptos"/>
          <w:b w:val="0"/>
          <w:i w:val="0"/>
          <w:color w:val="24323D"/>
          <w:sz w:val="20"/>
        </w:rPr>
        <w:t>Preuve de présence minimale, procédure de réconciliation non punitive et contrôle humain.</w:t>
      </w:r>
    </w:p>
    <w:p>
      <w:pPr>
        <w:spacing w:after="80"/>
      </w:pPr>
      <w:r>
        <w:rPr>
          <w:rFonts w:ascii="Aptos" w:hAnsi="Aptos"/>
          <w:b/>
          <w:i w:val="0"/>
          <w:color w:val="17324D"/>
          <w:sz w:val="20"/>
        </w:rPr>
        <w:t xml:space="preserve">Indicateurs. </w:t>
      </w:r>
      <w:r>
        <w:rPr>
          <w:rFonts w:ascii="Aptos" w:hAnsi="Aptos"/>
          <w:b w:val="0"/>
          <w:i w:val="0"/>
          <w:color w:val="24323D"/>
          <w:sz w:val="20"/>
        </w:rPr>
        <w:t>Taux d'accès hors ligne, refus erronés, délais de correction.</w:t>
      </w:r>
    </w:p>
    <w:p>
      <w:pPr>
        <w:pStyle w:val="Heading2"/>
      </w:pPr>
      <w:r>
        <w:rPr>
          <w:rFonts w:ascii="Aptos" w:hAnsi="Aptos"/>
          <w:b w:val="0"/>
          <w:i w:val="0"/>
          <w:color w:val="24323D"/>
          <w:sz w:val="21"/>
        </w:rPr>
        <w:t>M08 — Défenseur territorial des droits portables</w:t>
      </w:r>
    </w:p>
    <w:p>
      <w:pPr>
        <w:spacing w:after="80"/>
      </w:pPr>
      <w:r>
        <w:rPr>
          <w:rFonts w:ascii="Aptos" w:hAnsi="Aptos"/>
          <w:b/>
          <w:i w:val="0"/>
          <w:color w:val="17324D"/>
          <w:sz w:val="20"/>
        </w:rPr>
        <w:t xml:space="preserve">Effet. </w:t>
      </w:r>
      <w:r>
        <w:rPr>
          <w:rFonts w:ascii="Aptos" w:hAnsi="Aptos"/>
          <w:b w:val="0"/>
          <w:i w:val="0"/>
          <w:color w:val="24323D"/>
          <w:sz w:val="20"/>
        </w:rPr>
        <w:t>Une porte d'entrée unique, adossée au Défenseur des droits et aux réseaux territoriaux, oriente les personnes confrontées à une rupture de droit interterritoriale ou administrative.</w:t>
      </w:r>
    </w:p>
    <w:p>
      <w:pPr>
        <w:spacing w:after="80"/>
      </w:pPr>
      <w:r>
        <w:rPr>
          <w:rFonts w:ascii="Aptos" w:hAnsi="Aptos"/>
          <w:b/>
          <w:i w:val="0"/>
          <w:color w:val="17324D"/>
          <w:sz w:val="20"/>
        </w:rPr>
        <w:t xml:space="preserve">Voie. </w:t>
      </w:r>
      <w:r>
        <w:rPr>
          <w:rFonts w:ascii="Aptos" w:hAnsi="Aptos"/>
          <w:b w:val="0"/>
          <w:i w:val="0"/>
          <w:color w:val="24323D"/>
          <w:sz w:val="20"/>
        </w:rPr>
        <w:t>Loi organique ou loi ordinaire selon compétences retenues, convention avec collectivités.</w:t>
      </w:r>
    </w:p>
    <w:p>
      <w:pPr>
        <w:spacing w:after="80"/>
      </w:pPr>
      <w:r>
        <w:rPr>
          <w:rFonts w:ascii="Aptos" w:hAnsi="Aptos"/>
          <w:b/>
          <w:i w:val="0"/>
          <w:color w:val="17324D"/>
          <w:sz w:val="20"/>
        </w:rPr>
        <w:t xml:space="preserve">Risque. </w:t>
      </w:r>
      <w:r>
        <w:rPr>
          <w:rFonts w:ascii="Aptos" w:hAnsi="Aptos"/>
          <w:b w:val="0"/>
          <w:i w:val="0"/>
          <w:color w:val="24323D"/>
          <w:sz w:val="20"/>
        </w:rPr>
        <w:t>Guichet supplémentaire sans solution matérielle.</w:t>
      </w:r>
    </w:p>
    <w:p>
      <w:pPr>
        <w:spacing w:after="80"/>
      </w:pPr>
      <w:r>
        <w:rPr>
          <w:rFonts w:ascii="Aptos" w:hAnsi="Aptos"/>
          <w:b/>
          <w:i w:val="0"/>
          <w:color w:val="17324D"/>
          <w:sz w:val="20"/>
        </w:rPr>
        <w:t xml:space="preserve">Garde-fou. </w:t>
      </w:r>
      <w:r>
        <w:rPr>
          <w:rFonts w:ascii="Aptos" w:hAnsi="Aptos"/>
          <w:b w:val="0"/>
          <w:i w:val="0"/>
          <w:color w:val="24323D"/>
          <w:sz w:val="20"/>
        </w:rPr>
        <w:t>Pouvoir de saisine, référé, fonds d'aide et publication des délais ; évaluation par les usagers.</w:t>
      </w:r>
    </w:p>
    <w:p>
      <w:pPr>
        <w:spacing w:after="80"/>
      </w:pPr>
      <w:r>
        <w:rPr>
          <w:rFonts w:ascii="Aptos" w:hAnsi="Aptos"/>
          <w:b/>
          <w:i w:val="0"/>
          <w:color w:val="17324D"/>
          <w:sz w:val="20"/>
        </w:rPr>
        <w:t xml:space="preserve">Indicateurs. </w:t>
      </w:r>
      <w:r>
        <w:rPr>
          <w:rFonts w:ascii="Aptos" w:hAnsi="Aptos"/>
          <w:b w:val="0"/>
          <w:i w:val="0"/>
          <w:color w:val="24323D"/>
          <w:sz w:val="20"/>
        </w:rPr>
        <w:t>Délais, abandons, accès effectif, restauration d'accès.</w:t>
      </w:r>
    </w:p>
    <w:p>
      <w:pPr>
        <w:pStyle w:val="Heading2"/>
      </w:pPr>
      <w:r>
        <w:rPr>
          <w:rFonts w:ascii="Aptos" w:hAnsi="Aptos"/>
          <w:b w:val="0"/>
          <w:i w:val="0"/>
          <w:color w:val="24323D"/>
          <w:sz w:val="21"/>
        </w:rPr>
        <w:t>M09 — Extinction matérielle des pouvoirs d'urgence</w:t>
      </w:r>
    </w:p>
    <w:p>
      <w:pPr>
        <w:spacing w:after="80"/>
      </w:pPr>
      <w:r>
        <w:rPr>
          <w:rFonts w:ascii="Aptos" w:hAnsi="Aptos"/>
          <w:b/>
          <w:i w:val="0"/>
          <w:color w:val="17324D"/>
          <w:sz w:val="20"/>
        </w:rPr>
        <w:t xml:space="preserve">Effet. </w:t>
      </w:r>
      <w:r>
        <w:rPr>
          <w:rFonts w:ascii="Aptos" w:hAnsi="Aptos"/>
          <w:b w:val="0"/>
          <w:i w:val="0"/>
          <w:color w:val="24323D"/>
          <w:sz w:val="20"/>
        </w:rPr>
        <w:t>Toute mesure exceptionnelle comporte des clés distinctes d'activation, de prolongation, de suspension et de certification de fin ; elle expire sans renouvellement explicite.</w:t>
      </w:r>
    </w:p>
    <w:p>
      <w:pPr>
        <w:spacing w:after="80"/>
      </w:pPr>
      <w:r>
        <w:rPr>
          <w:rFonts w:ascii="Aptos" w:hAnsi="Aptos"/>
          <w:b/>
          <w:i w:val="0"/>
          <w:color w:val="17324D"/>
          <w:sz w:val="20"/>
        </w:rPr>
        <w:t xml:space="preserve">Voie. </w:t>
      </w:r>
      <w:r>
        <w:rPr>
          <w:rFonts w:ascii="Aptos" w:hAnsi="Aptos"/>
          <w:b w:val="0"/>
          <w:i w:val="0"/>
          <w:color w:val="24323D"/>
          <w:sz w:val="20"/>
        </w:rPr>
        <w:t>Réforme des régimes d'exception, lois sectorielles et, si nécessaire, révision constitutionnelle.</w:t>
      </w:r>
    </w:p>
    <w:p>
      <w:pPr>
        <w:spacing w:after="80"/>
      </w:pPr>
      <w:r>
        <w:rPr>
          <w:rFonts w:ascii="Aptos" w:hAnsi="Aptos"/>
          <w:b/>
          <w:i w:val="0"/>
          <w:color w:val="17324D"/>
          <w:sz w:val="20"/>
        </w:rPr>
        <w:t xml:space="preserve">Risque. </w:t>
      </w:r>
      <w:r>
        <w:rPr>
          <w:rFonts w:ascii="Aptos" w:hAnsi="Aptos"/>
          <w:b w:val="0"/>
          <w:i w:val="0"/>
          <w:color w:val="24323D"/>
          <w:sz w:val="20"/>
        </w:rPr>
        <w:t>Ralentir une protection urgente.</w:t>
      </w:r>
    </w:p>
    <w:p>
      <w:pPr>
        <w:spacing w:after="80"/>
      </w:pPr>
      <w:r>
        <w:rPr>
          <w:rFonts w:ascii="Aptos" w:hAnsi="Aptos"/>
          <w:b/>
          <w:i w:val="0"/>
          <w:color w:val="17324D"/>
          <w:sz w:val="20"/>
        </w:rPr>
        <w:t xml:space="preserve">Garde-fou. </w:t>
      </w:r>
      <w:r>
        <w:rPr>
          <w:rFonts w:ascii="Aptos" w:hAnsi="Aptos"/>
          <w:b w:val="0"/>
          <w:i w:val="0"/>
          <w:color w:val="24323D"/>
          <w:sz w:val="20"/>
        </w:rPr>
        <w:t>Mesures conservatoires brèves, contrôle juridictionnel rapide et maintien des droits non dérogeables.</w:t>
      </w:r>
    </w:p>
    <w:p>
      <w:pPr>
        <w:spacing w:after="80"/>
      </w:pPr>
      <w:r>
        <w:rPr>
          <w:rFonts w:ascii="Aptos" w:hAnsi="Aptos"/>
          <w:b/>
          <w:i w:val="0"/>
          <w:color w:val="17324D"/>
          <w:sz w:val="20"/>
        </w:rPr>
        <w:t xml:space="preserve">Indicateurs. </w:t>
      </w:r>
      <w:r>
        <w:rPr>
          <w:rFonts w:ascii="Aptos" w:hAnsi="Aptos"/>
          <w:b w:val="0"/>
          <w:i w:val="0"/>
          <w:color w:val="24323D"/>
          <w:sz w:val="20"/>
        </w:rPr>
        <w:t>Durée, renouvellements, contrôles, pouvoirs effectivement retirés.</w:t>
      </w:r>
    </w:p>
    <w:p>
      <w:pPr>
        <w:pStyle w:val="Heading2"/>
      </w:pPr>
      <w:r>
        <w:rPr>
          <w:rFonts w:ascii="Aptos" w:hAnsi="Aptos"/>
          <w:b w:val="0"/>
          <w:i w:val="0"/>
          <w:color w:val="24323D"/>
          <w:sz w:val="21"/>
        </w:rPr>
        <w:t>M10 — Budget de charge démocratique</w:t>
      </w:r>
    </w:p>
    <w:p>
      <w:pPr>
        <w:spacing w:after="80"/>
      </w:pPr>
      <w:r>
        <w:rPr>
          <w:rFonts w:ascii="Aptos" w:hAnsi="Aptos"/>
          <w:b/>
          <w:i w:val="0"/>
          <w:color w:val="17324D"/>
          <w:sz w:val="20"/>
        </w:rPr>
        <w:t xml:space="preserve">Effet. </w:t>
      </w:r>
      <w:r>
        <w:rPr>
          <w:rFonts w:ascii="Aptos" w:hAnsi="Aptos"/>
          <w:b w:val="0"/>
          <w:i w:val="0"/>
          <w:color w:val="24323D"/>
          <w:sz w:val="20"/>
        </w:rPr>
        <w:t>Toute réforme mesure le temps, les déplacements, les pièces, la traduction, l'assistance et les points de veto qu'elle impose aux personnes.</w:t>
      </w:r>
    </w:p>
    <w:p>
      <w:pPr>
        <w:spacing w:after="80"/>
      </w:pPr>
      <w:r>
        <w:rPr>
          <w:rFonts w:ascii="Aptos" w:hAnsi="Aptos"/>
          <w:b/>
          <w:i w:val="0"/>
          <w:color w:val="17324D"/>
          <w:sz w:val="20"/>
        </w:rPr>
        <w:t xml:space="preserve">Voie. </w:t>
      </w:r>
      <w:r>
        <w:rPr>
          <w:rFonts w:ascii="Aptos" w:hAnsi="Aptos"/>
          <w:b w:val="0"/>
          <w:i w:val="0"/>
          <w:color w:val="24323D"/>
          <w:sz w:val="20"/>
        </w:rPr>
        <w:t>Études d'impact, décrets et règles de consultation.</w:t>
      </w:r>
    </w:p>
    <w:p>
      <w:pPr>
        <w:spacing w:after="80"/>
      </w:pPr>
      <w:r>
        <w:rPr>
          <w:rFonts w:ascii="Aptos" w:hAnsi="Aptos"/>
          <w:b/>
          <w:i w:val="0"/>
          <w:color w:val="17324D"/>
          <w:sz w:val="20"/>
        </w:rPr>
        <w:t xml:space="preserve">Risque. </w:t>
      </w:r>
      <w:r>
        <w:rPr>
          <w:rFonts w:ascii="Aptos" w:hAnsi="Aptos"/>
          <w:b w:val="0"/>
          <w:i w:val="0"/>
          <w:color w:val="24323D"/>
          <w:sz w:val="20"/>
        </w:rPr>
        <w:t>Nouvel indicateur bureaucratique.</w:t>
      </w:r>
    </w:p>
    <w:p>
      <w:pPr>
        <w:spacing w:after="80"/>
      </w:pPr>
      <w:r>
        <w:rPr>
          <w:rFonts w:ascii="Aptos" w:hAnsi="Aptos"/>
          <w:b/>
          <w:i w:val="0"/>
          <w:color w:val="17324D"/>
          <w:sz w:val="20"/>
        </w:rPr>
        <w:t xml:space="preserve">Garde-fou. </w:t>
      </w:r>
      <w:r>
        <w:rPr>
          <w:rFonts w:ascii="Aptos" w:hAnsi="Aptos"/>
          <w:b w:val="0"/>
          <w:i w:val="0"/>
          <w:color w:val="24323D"/>
          <w:sz w:val="20"/>
        </w:rPr>
        <w:t>Publication simple, test usager, suppression automatique des formalités qui n'améliorent pas la protection.</w:t>
      </w:r>
    </w:p>
    <w:p>
      <w:pPr>
        <w:spacing w:after="80"/>
      </w:pPr>
      <w:r>
        <w:rPr>
          <w:rFonts w:ascii="Aptos" w:hAnsi="Aptos"/>
          <w:b/>
          <w:i w:val="0"/>
          <w:color w:val="17324D"/>
          <w:sz w:val="20"/>
        </w:rPr>
        <w:t xml:space="preserve">Indicateurs. </w:t>
      </w:r>
      <w:r>
        <w:rPr>
          <w:rFonts w:ascii="Aptos" w:hAnsi="Aptos"/>
          <w:b w:val="0"/>
          <w:i w:val="0"/>
          <w:color w:val="24323D"/>
          <w:sz w:val="20"/>
        </w:rPr>
        <w:t>Temps moyen et inégalités d'accès au droit.</w:t>
      </w:r>
    </w:p>
    <w:p>
      <w:r>
        <w:br w:type="page"/>
      </w:r>
    </w:p>
    <w:p>
      <w:pPr>
        <w:pStyle w:val="Heading2"/>
      </w:pPr>
      <w:r>
        <w:rPr>
          <w:rFonts w:ascii="Aptos" w:hAnsi="Aptos"/>
          <w:b w:val="0"/>
          <w:i w:val="0"/>
          <w:color w:val="24323D"/>
          <w:sz w:val="21"/>
        </w:rPr>
        <w:t>M11 — Clause sociale et écologique de capacité dans la commande publique</w:t>
      </w:r>
    </w:p>
    <w:p>
      <w:pPr>
        <w:spacing w:after="80"/>
      </w:pPr>
      <w:r>
        <w:rPr>
          <w:rFonts w:ascii="Aptos" w:hAnsi="Aptos"/>
          <w:b/>
          <w:i w:val="0"/>
          <w:color w:val="17324D"/>
          <w:sz w:val="20"/>
        </w:rPr>
        <w:t xml:space="preserve">Effet. </w:t>
      </w:r>
      <w:r>
        <w:rPr>
          <w:rFonts w:ascii="Aptos" w:hAnsi="Aptos"/>
          <w:b w:val="0"/>
          <w:i w:val="0"/>
          <w:color w:val="24323D"/>
          <w:sz w:val="20"/>
        </w:rPr>
        <w:t>Les achats publics soutiennent les filières nécessaires à la transition à condition de documenter emploi, conditions de travail, empreinte, réparabilité, dépendances et continuité.</w:t>
      </w:r>
    </w:p>
    <w:p>
      <w:pPr>
        <w:spacing w:after="80"/>
      </w:pPr>
      <w:r>
        <w:rPr>
          <w:rFonts w:ascii="Aptos" w:hAnsi="Aptos"/>
          <w:b/>
          <w:i w:val="0"/>
          <w:color w:val="17324D"/>
          <w:sz w:val="20"/>
        </w:rPr>
        <w:t xml:space="preserve">Voie. </w:t>
      </w:r>
      <w:r>
        <w:rPr>
          <w:rFonts w:ascii="Aptos" w:hAnsi="Aptos"/>
          <w:b w:val="0"/>
          <w:i w:val="0"/>
          <w:color w:val="24323D"/>
          <w:sz w:val="20"/>
        </w:rPr>
        <w:t>Code de la commande publique, marchés État/collectivités.</w:t>
      </w:r>
    </w:p>
    <w:p>
      <w:pPr>
        <w:spacing w:after="80"/>
      </w:pPr>
      <w:r>
        <w:rPr>
          <w:rFonts w:ascii="Aptos" w:hAnsi="Aptos"/>
          <w:b/>
          <w:i w:val="0"/>
          <w:color w:val="17324D"/>
          <w:sz w:val="20"/>
        </w:rPr>
        <w:t xml:space="preserve">Risque. </w:t>
      </w:r>
      <w:r>
        <w:rPr>
          <w:rFonts w:ascii="Aptos" w:hAnsi="Aptos"/>
          <w:b w:val="0"/>
          <w:i w:val="0"/>
          <w:color w:val="24323D"/>
          <w:sz w:val="20"/>
        </w:rPr>
        <w:t>Exclure les petites structures par complexité.</w:t>
      </w:r>
    </w:p>
    <w:p>
      <w:pPr>
        <w:spacing w:after="80"/>
      </w:pPr>
      <w:r>
        <w:rPr>
          <w:rFonts w:ascii="Aptos" w:hAnsi="Aptos"/>
          <w:b/>
          <w:i w:val="0"/>
          <w:color w:val="17324D"/>
          <w:sz w:val="20"/>
        </w:rPr>
        <w:t xml:space="preserve">Garde-fou. </w:t>
      </w:r>
      <w:r>
        <w:rPr>
          <w:rFonts w:ascii="Aptos" w:hAnsi="Aptos"/>
          <w:b w:val="0"/>
          <w:i w:val="0"/>
          <w:color w:val="24323D"/>
          <w:sz w:val="20"/>
        </w:rPr>
        <w:t>Lots accessibles, assistance publique, critères transparents et recours.</w:t>
      </w:r>
    </w:p>
    <w:p>
      <w:pPr>
        <w:spacing w:after="80"/>
      </w:pPr>
      <w:r>
        <w:rPr>
          <w:rFonts w:ascii="Aptos" w:hAnsi="Aptos"/>
          <w:b/>
          <w:i w:val="0"/>
          <w:color w:val="17324D"/>
          <w:sz w:val="20"/>
        </w:rPr>
        <w:t xml:space="preserve">Indicateurs. </w:t>
      </w:r>
      <w:r>
        <w:rPr>
          <w:rFonts w:ascii="Aptos" w:hAnsi="Aptos"/>
          <w:b w:val="0"/>
          <w:i w:val="0"/>
          <w:color w:val="24323D"/>
          <w:sz w:val="20"/>
        </w:rPr>
        <w:t>Part des marchés attribuée, emplois, dépendances réduites, accès des PME/coops.</w:t>
      </w:r>
    </w:p>
    <w:p>
      <w:pPr>
        <w:pStyle w:val="Heading2"/>
      </w:pPr>
      <w:r>
        <w:rPr>
          <w:rFonts w:ascii="Aptos" w:hAnsi="Aptos"/>
          <w:b w:val="0"/>
          <w:i w:val="0"/>
          <w:color w:val="24323D"/>
          <w:sz w:val="21"/>
        </w:rPr>
        <w:t>M12 — Comptabilité écologique et sociale contradictoire</w:t>
      </w:r>
    </w:p>
    <w:p>
      <w:pPr>
        <w:spacing w:after="80"/>
      </w:pPr>
      <w:r>
        <w:rPr>
          <w:rFonts w:ascii="Aptos" w:hAnsi="Aptos"/>
          <w:b/>
          <w:i w:val="0"/>
          <w:color w:val="17324D"/>
          <w:sz w:val="20"/>
        </w:rPr>
        <w:t xml:space="preserve">Effet. </w:t>
      </w:r>
      <w:r>
        <w:rPr>
          <w:rFonts w:ascii="Aptos" w:hAnsi="Aptos"/>
          <w:b w:val="0"/>
          <w:i w:val="0"/>
          <w:color w:val="24323D"/>
          <w:sz w:val="20"/>
        </w:rPr>
        <w:t>Les décisions d'investissement public publient au moins une mesure rivale des effets sociaux et écologiques, leurs hypothèses et les données brutes accessibles.</w:t>
      </w:r>
    </w:p>
    <w:p>
      <w:pPr>
        <w:spacing w:after="80"/>
      </w:pPr>
      <w:r>
        <w:rPr>
          <w:rFonts w:ascii="Aptos" w:hAnsi="Aptos"/>
          <w:b/>
          <w:i w:val="0"/>
          <w:color w:val="17324D"/>
          <w:sz w:val="20"/>
        </w:rPr>
        <w:t xml:space="preserve">Voie. </w:t>
      </w:r>
      <w:r>
        <w:rPr>
          <w:rFonts w:ascii="Aptos" w:hAnsi="Aptos"/>
          <w:b w:val="0"/>
          <w:i w:val="0"/>
          <w:color w:val="24323D"/>
          <w:sz w:val="20"/>
        </w:rPr>
        <w:t>Loi organique relative aux lois de finances, lois de programmation et décrets d'évaluation.</w:t>
      </w:r>
    </w:p>
    <w:p>
      <w:pPr>
        <w:spacing w:after="80"/>
      </w:pPr>
      <w:r>
        <w:rPr>
          <w:rFonts w:ascii="Aptos" w:hAnsi="Aptos"/>
          <w:b/>
          <w:i w:val="0"/>
          <w:color w:val="17324D"/>
          <w:sz w:val="20"/>
        </w:rPr>
        <w:t xml:space="preserve">Risque. </w:t>
      </w:r>
      <w:r>
        <w:rPr>
          <w:rFonts w:ascii="Aptos" w:hAnsi="Aptos"/>
          <w:b w:val="0"/>
          <w:i w:val="0"/>
          <w:color w:val="24323D"/>
          <w:sz w:val="20"/>
        </w:rPr>
        <w:t>Paralysie par expertise.</w:t>
      </w:r>
    </w:p>
    <w:p>
      <w:pPr>
        <w:spacing w:after="80"/>
      </w:pPr>
      <w:r>
        <w:rPr>
          <w:rFonts w:ascii="Aptos" w:hAnsi="Aptos"/>
          <w:b/>
          <w:i w:val="0"/>
          <w:color w:val="17324D"/>
          <w:sz w:val="20"/>
        </w:rPr>
        <w:t xml:space="preserve">Garde-fou. </w:t>
      </w:r>
      <w:r>
        <w:rPr>
          <w:rFonts w:ascii="Aptos" w:hAnsi="Aptos"/>
          <w:b w:val="0"/>
          <w:i w:val="0"/>
          <w:color w:val="24323D"/>
          <w:sz w:val="20"/>
        </w:rPr>
        <w:t>Seuils de matérialité, calendriers et droit à l'objection motivée.</w:t>
      </w:r>
    </w:p>
    <w:p>
      <w:pPr>
        <w:spacing w:after="80"/>
      </w:pPr>
      <w:r>
        <w:rPr>
          <w:rFonts w:ascii="Aptos" w:hAnsi="Aptos"/>
          <w:b/>
          <w:i w:val="0"/>
          <w:color w:val="17324D"/>
          <w:sz w:val="20"/>
        </w:rPr>
        <w:t xml:space="preserve">Indicateurs. </w:t>
      </w:r>
      <w:r>
        <w:rPr>
          <w:rFonts w:ascii="Aptos" w:hAnsi="Aptos"/>
          <w:b w:val="0"/>
          <w:i w:val="0"/>
          <w:color w:val="24323D"/>
          <w:sz w:val="20"/>
        </w:rPr>
        <w:t>Écarts entre prévisions et effets, corrections intervenues, jeux de données ouverts.</w:t>
      </w:r>
    </w:p>
    <w:p>
      <w:pPr>
        <w:pStyle w:val="Heading2"/>
      </w:pPr>
      <w:r>
        <w:rPr>
          <w:rFonts w:ascii="Aptos" w:hAnsi="Aptos"/>
          <w:b w:val="0"/>
          <w:i w:val="0"/>
          <w:color w:val="24323D"/>
          <w:sz w:val="21"/>
        </w:rPr>
        <w:t>M13 — Fonds de continuité et de réparation territoriale</w:t>
      </w:r>
    </w:p>
    <w:p>
      <w:pPr>
        <w:spacing w:after="80"/>
      </w:pPr>
      <w:r>
        <w:rPr>
          <w:rFonts w:ascii="Aptos" w:hAnsi="Aptos"/>
          <w:b/>
          <w:i w:val="0"/>
          <w:color w:val="17324D"/>
          <w:sz w:val="20"/>
        </w:rPr>
        <w:t xml:space="preserve">Effet. </w:t>
      </w:r>
      <w:r>
        <w:rPr>
          <w:rFonts w:ascii="Aptos" w:hAnsi="Aptos"/>
          <w:b w:val="0"/>
          <w:i w:val="0"/>
          <w:color w:val="24323D"/>
          <w:sz w:val="20"/>
        </w:rPr>
        <w:t>Financer les voies de secours, l'adaptation, la restauration de service et la réparation des dommages de transition, avant qu'une crise ne transfère le coût aux ménages et collectivités les plus fragiles.</w:t>
      </w:r>
    </w:p>
    <w:p>
      <w:pPr>
        <w:spacing w:after="80"/>
      </w:pPr>
      <w:r>
        <w:rPr>
          <w:rFonts w:ascii="Aptos" w:hAnsi="Aptos"/>
          <w:b/>
          <w:i w:val="0"/>
          <w:color w:val="17324D"/>
          <w:sz w:val="20"/>
        </w:rPr>
        <w:t xml:space="preserve">Voie. </w:t>
      </w:r>
      <w:r>
        <w:rPr>
          <w:rFonts w:ascii="Aptos" w:hAnsi="Aptos"/>
          <w:b w:val="0"/>
          <w:i w:val="0"/>
          <w:color w:val="24323D"/>
          <w:sz w:val="20"/>
        </w:rPr>
        <w:t>Loi de finances et conventions État-collectivités.</w:t>
      </w:r>
    </w:p>
    <w:p>
      <w:pPr>
        <w:spacing w:after="80"/>
      </w:pPr>
      <w:r>
        <w:rPr>
          <w:rFonts w:ascii="Aptos" w:hAnsi="Aptos"/>
          <w:b/>
          <w:i w:val="0"/>
          <w:color w:val="17324D"/>
          <w:sz w:val="20"/>
        </w:rPr>
        <w:t xml:space="preserve">Risque. </w:t>
      </w:r>
      <w:r>
        <w:rPr>
          <w:rFonts w:ascii="Aptos" w:hAnsi="Aptos"/>
          <w:b w:val="0"/>
          <w:i w:val="0"/>
          <w:color w:val="24323D"/>
          <w:sz w:val="20"/>
        </w:rPr>
        <w:t>Fonds d'annonce non mobilisable.</w:t>
      </w:r>
    </w:p>
    <w:p>
      <w:pPr>
        <w:spacing w:after="80"/>
      </w:pPr>
      <w:r>
        <w:rPr>
          <w:rFonts w:ascii="Aptos" w:hAnsi="Aptos"/>
          <w:b/>
          <w:i w:val="0"/>
          <w:color w:val="17324D"/>
          <w:sz w:val="20"/>
        </w:rPr>
        <w:t xml:space="preserve">Garde-fou. </w:t>
      </w:r>
      <w:r>
        <w:rPr>
          <w:rFonts w:ascii="Aptos" w:hAnsi="Aptos"/>
          <w:b w:val="0"/>
          <w:i w:val="0"/>
          <w:color w:val="24323D"/>
          <w:sz w:val="20"/>
        </w:rPr>
        <w:t>Critères publics, préfinancement, décaissement contrôlé et évaluation des pertes non réparées.</w:t>
      </w:r>
    </w:p>
    <w:p>
      <w:pPr>
        <w:spacing w:after="80"/>
      </w:pPr>
      <w:r>
        <w:rPr>
          <w:rFonts w:ascii="Aptos" w:hAnsi="Aptos"/>
          <w:b/>
          <w:i w:val="0"/>
          <w:color w:val="17324D"/>
          <w:sz w:val="20"/>
        </w:rPr>
        <w:t xml:space="preserve">Indicateurs. </w:t>
      </w:r>
      <w:r>
        <w:rPr>
          <w:rFonts w:ascii="Aptos" w:hAnsi="Aptos"/>
          <w:b w:val="0"/>
          <w:i w:val="0"/>
          <w:color w:val="24323D"/>
          <w:sz w:val="20"/>
        </w:rPr>
        <w:t>Délai de mobilisation, capacité restaurée, répartition territoriale.</w:t>
      </w:r>
    </w:p>
    <w:p>
      <w:pPr>
        <w:pStyle w:val="Heading2"/>
      </w:pPr>
      <w:r>
        <w:rPr>
          <w:rFonts w:ascii="Aptos" w:hAnsi="Aptos"/>
          <w:b w:val="0"/>
          <w:i w:val="0"/>
          <w:color w:val="24323D"/>
          <w:sz w:val="21"/>
        </w:rPr>
        <w:t>M14 — Droit d'alerte et de reprise des entreprises d'infrastructure abandonnées</w:t>
      </w:r>
    </w:p>
    <w:p>
      <w:pPr>
        <w:spacing w:after="80"/>
      </w:pPr>
      <w:r>
        <w:rPr>
          <w:rFonts w:ascii="Aptos" w:hAnsi="Aptos"/>
          <w:b/>
          <w:i w:val="0"/>
          <w:color w:val="17324D"/>
          <w:sz w:val="20"/>
        </w:rPr>
        <w:t xml:space="preserve">Effet. </w:t>
      </w:r>
      <w:r>
        <w:rPr>
          <w:rFonts w:ascii="Aptos" w:hAnsi="Aptos"/>
          <w:b w:val="0"/>
          <w:i w:val="0"/>
          <w:color w:val="24323D"/>
          <w:sz w:val="20"/>
        </w:rPr>
        <w:t>Salariés, usagers et collectivités peuvent déclencher un examen de continuité et, sous conditions strictes, une reprise publique ou coopérative d'une activité vitale abandonnée.</w:t>
      </w:r>
    </w:p>
    <w:p>
      <w:pPr>
        <w:spacing w:after="80"/>
      </w:pPr>
      <w:r>
        <w:rPr>
          <w:rFonts w:ascii="Aptos" w:hAnsi="Aptos"/>
          <w:b/>
          <w:i w:val="0"/>
          <w:color w:val="17324D"/>
          <w:sz w:val="20"/>
        </w:rPr>
        <w:t xml:space="preserve">Voie. </w:t>
      </w:r>
      <w:r>
        <w:rPr>
          <w:rFonts w:ascii="Aptos" w:hAnsi="Aptos"/>
          <w:b w:val="0"/>
          <w:i w:val="0"/>
          <w:color w:val="24323D"/>
          <w:sz w:val="20"/>
        </w:rPr>
        <w:t>Droit du travail, droit des faillites, législation sectorielle.</w:t>
      </w:r>
    </w:p>
    <w:p>
      <w:pPr>
        <w:spacing w:after="80"/>
      </w:pPr>
      <w:r>
        <w:rPr>
          <w:rFonts w:ascii="Aptos" w:hAnsi="Aptos"/>
          <w:b/>
          <w:i w:val="0"/>
          <w:color w:val="17324D"/>
          <w:sz w:val="20"/>
        </w:rPr>
        <w:t xml:space="preserve">Risque. </w:t>
      </w:r>
      <w:r>
        <w:rPr>
          <w:rFonts w:ascii="Aptos" w:hAnsi="Aptos"/>
          <w:b w:val="0"/>
          <w:i w:val="0"/>
          <w:color w:val="24323D"/>
          <w:sz w:val="20"/>
        </w:rPr>
        <w:t>Captation d'actifs sans capacité de maintenance.</w:t>
      </w:r>
    </w:p>
    <w:p>
      <w:pPr>
        <w:spacing w:after="80"/>
      </w:pPr>
      <w:r>
        <w:rPr>
          <w:rFonts w:ascii="Aptos" w:hAnsi="Aptos"/>
          <w:b/>
          <w:i w:val="0"/>
          <w:color w:val="17324D"/>
          <w:sz w:val="20"/>
        </w:rPr>
        <w:t xml:space="preserve">Garde-fou. </w:t>
      </w:r>
      <w:r>
        <w:rPr>
          <w:rFonts w:ascii="Aptos" w:hAnsi="Aptos"/>
          <w:b w:val="0"/>
          <w:i w:val="0"/>
          <w:color w:val="24323D"/>
          <w:sz w:val="20"/>
        </w:rPr>
        <w:t>Audit indépendant, plan de capacité, indemnisation conforme au droit applicable et obligation de service.</w:t>
      </w:r>
    </w:p>
    <w:p>
      <w:pPr>
        <w:spacing w:after="80"/>
      </w:pPr>
      <w:r>
        <w:rPr>
          <w:rFonts w:ascii="Aptos" w:hAnsi="Aptos"/>
          <w:b/>
          <w:i w:val="0"/>
          <w:color w:val="17324D"/>
          <w:sz w:val="20"/>
        </w:rPr>
        <w:t xml:space="preserve">Indicateurs. </w:t>
      </w:r>
      <w:r>
        <w:rPr>
          <w:rFonts w:ascii="Aptos" w:hAnsi="Aptos"/>
          <w:b w:val="0"/>
          <w:i w:val="0"/>
          <w:color w:val="24323D"/>
          <w:sz w:val="20"/>
        </w:rPr>
        <w:t>Continuité, emploi, dette, délais et réussite des reprises.</w:t>
      </w:r>
    </w:p>
    <w:p>
      <w:pPr>
        <w:pStyle w:val="Heading2"/>
      </w:pPr>
      <w:r>
        <w:rPr>
          <w:rFonts w:ascii="Aptos" w:hAnsi="Aptos"/>
          <w:b w:val="0"/>
          <w:i w:val="0"/>
          <w:color w:val="24323D"/>
          <w:sz w:val="21"/>
        </w:rPr>
        <w:t>M15 — Convention citoyenne permanente de suivi de la bifurcation</w:t>
      </w:r>
    </w:p>
    <w:p>
      <w:pPr>
        <w:spacing w:after="80"/>
      </w:pPr>
      <w:r>
        <w:rPr>
          <w:rFonts w:ascii="Aptos" w:hAnsi="Aptos"/>
          <w:b/>
          <w:i w:val="0"/>
          <w:color w:val="17324D"/>
          <w:sz w:val="20"/>
        </w:rPr>
        <w:t xml:space="preserve">Effet. </w:t>
      </w:r>
      <w:r>
        <w:rPr>
          <w:rFonts w:ascii="Aptos" w:hAnsi="Aptos"/>
          <w:b w:val="0"/>
          <w:i w:val="0"/>
          <w:color w:val="24323D"/>
          <w:sz w:val="20"/>
        </w:rPr>
        <w:t>Une assemblée citoyenne tirée au sort suit les objectifs, reçoit les désaccords publics, peut exiger une contre-enquête et saisir le Parlement.</w:t>
      </w:r>
    </w:p>
    <w:p>
      <w:pPr>
        <w:spacing w:after="80"/>
      </w:pPr>
      <w:r>
        <w:rPr>
          <w:rFonts w:ascii="Aptos" w:hAnsi="Aptos"/>
          <w:b/>
          <w:i w:val="0"/>
          <w:color w:val="17324D"/>
          <w:sz w:val="20"/>
        </w:rPr>
        <w:t xml:space="preserve">Voie. </w:t>
      </w:r>
      <w:r>
        <w:rPr>
          <w:rFonts w:ascii="Aptos" w:hAnsi="Aptos"/>
          <w:b w:val="0"/>
          <w:i w:val="0"/>
          <w:color w:val="24323D"/>
          <w:sz w:val="20"/>
        </w:rPr>
        <w:t>Loi et règlement des assemblées.</w:t>
      </w:r>
    </w:p>
    <w:p>
      <w:pPr>
        <w:spacing w:after="80"/>
      </w:pPr>
      <w:r>
        <w:rPr>
          <w:rFonts w:ascii="Aptos" w:hAnsi="Aptos"/>
          <w:b/>
          <w:i w:val="0"/>
          <w:color w:val="17324D"/>
          <w:sz w:val="20"/>
        </w:rPr>
        <w:t xml:space="preserve">Risque. </w:t>
      </w:r>
      <w:r>
        <w:rPr>
          <w:rFonts w:ascii="Aptos" w:hAnsi="Aptos"/>
          <w:b w:val="0"/>
          <w:i w:val="0"/>
          <w:color w:val="24323D"/>
          <w:sz w:val="20"/>
        </w:rPr>
        <w:t>Consultation sans suite.</w:t>
      </w:r>
    </w:p>
    <w:p>
      <w:pPr>
        <w:spacing w:after="80"/>
      </w:pPr>
      <w:r>
        <w:rPr>
          <w:rFonts w:ascii="Aptos" w:hAnsi="Aptos"/>
          <w:b/>
          <w:i w:val="0"/>
          <w:color w:val="17324D"/>
          <w:sz w:val="20"/>
        </w:rPr>
        <w:t xml:space="preserve">Garde-fou. </w:t>
      </w:r>
      <w:r>
        <w:rPr>
          <w:rFonts w:ascii="Aptos" w:hAnsi="Aptos"/>
          <w:b w:val="0"/>
          <w:i w:val="0"/>
          <w:color w:val="24323D"/>
          <w:sz w:val="20"/>
        </w:rPr>
        <w:t>Obligation de réponse motivée, budget de contre-expertise, suivi public des suites.</w:t>
      </w:r>
    </w:p>
    <w:p>
      <w:pPr>
        <w:spacing w:after="80"/>
      </w:pPr>
      <w:r>
        <w:rPr>
          <w:rFonts w:ascii="Aptos" w:hAnsi="Aptos"/>
          <w:b/>
          <w:i w:val="0"/>
          <w:color w:val="17324D"/>
          <w:sz w:val="20"/>
        </w:rPr>
        <w:t xml:space="preserve">Indicateurs. </w:t>
      </w:r>
      <w:r>
        <w:rPr>
          <w:rFonts w:ascii="Aptos" w:hAnsi="Aptos"/>
          <w:b w:val="0"/>
          <w:i w:val="0"/>
          <w:color w:val="24323D"/>
          <w:sz w:val="20"/>
        </w:rPr>
        <w:t>Propositions reprises, délais de réponse, diversité, compréhension et effets.</w:t>
      </w:r>
    </w:p>
    <w:p>
      <w:r>
        <w:br w:type="page"/>
      </w:r>
    </w:p>
    <w:p>
      <w:pPr>
        <w:pStyle w:val="Heading1"/>
      </w:pPr>
      <w:r>
        <w:rPr>
          <w:rFonts w:ascii="Aptos" w:hAnsi="Aptos"/>
          <w:b w:val="0"/>
          <w:i w:val="0"/>
          <w:color w:val="24323D"/>
          <w:sz w:val="21"/>
        </w:rPr>
        <w:t>Mode d'intégration dans L'Avenir en commun</w:t>
      </w:r>
    </w:p>
    <w:p>
      <w:r>
        <w:rPr>
          <w:rFonts w:ascii="Aptos" w:hAnsi="Aptos"/>
          <w:b w:val="0"/>
          <w:i w:val="0"/>
          <w:color w:val="24323D"/>
          <w:sz w:val="21"/>
        </w:rPr>
        <w:t>La contribution est datée de 2026 et s'appuie sur les points d'ancrage de l'édition 2025 du programme, alors mobilisée pour 2027. Les formulations ci-dessous sont des ajouts programmatiques, non des articles de loi et non des citations du programme.</w:t>
      </w:r>
    </w:p>
    <w:tbl>
      <w:tblPr>
        <w:tblStyle w:val="TableGrid"/>
        <w:tblW w:type="dxa" w:w="9360"/>
        <w:jc w:val="left"/>
        <w:tblLayout w:type="fixed"/>
        <w:tblLook w:firstColumn="1" w:firstRow="1" w:lastColumn="0" w:lastRow="0" w:noHBand="0" w:noVBand="1" w:val="04A0"/>
        <w:tblInd w:w="120" w:type="dxa"/>
      </w:tblPr>
      <w:tblGrid>
        <w:gridCol w:w="1850"/>
        <w:gridCol w:w="3000"/>
        <w:gridCol w:w="4510"/>
      </w:tblGrid>
      <w:tr>
        <w:trPr>
          <w:tblHeader w:val="true"/>
        </w:trPr>
        <w:tc>
          <w:tcPr>
            <w:tcW w:type="dxa" w:w="1850"/>
            <w:vAlign w:val="center"/>
            <w:tcMar>
              <w:top w:w="90" w:type="dxa"/>
              <w:bottom w:w="90" w:type="dxa"/>
              <w:start w:w="120" w:type="dxa"/>
              <w:end w:w="120" w:type="dxa"/>
            </w:tcMar>
            <w:shd w:fill="F3F5F6"/>
          </w:tcPr>
          <w:p>
            <w:r>
              <w:rPr>
                <w:rFonts w:ascii="Aptos" w:hAnsi="Aptos"/>
                <w:b/>
                <w:i w:val="0"/>
                <w:color w:val="17324D"/>
                <w:sz w:val="18"/>
              </w:rPr>
              <w:t>Mesures</w:t>
            </w:r>
          </w:p>
        </w:tc>
        <w:tc>
          <w:tcPr>
            <w:tcW w:type="dxa" w:w="3000"/>
            <w:vAlign w:val="center"/>
            <w:tcMar>
              <w:top w:w="90" w:type="dxa"/>
              <w:bottom w:w="90" w:type="dxa"/>
              <w:start w:w="120" w:type="dxa"/>
              <w:end w:w="120" w:type="dxa"/>
            </w:tcMar>
            <w:shd w:fill="F3F5F6"/>
          </w:tcPr>
          <w:p>
            <w:r>
              <w:rPr>
                <w:rFonts w:ascii="Aptos" w:hAnsi="Aptos"/>
                <w:b/>
                <w:i w:val="0"/>
                <w:color w:val="17324D"/>
                <w:sz w:val="18"/>
              </w:rPr>
              <w:t>Ancrage LFI 2026</w:t>
            </w:r>
          </w:p>
        </w:tc>
        <w:tc>
          <w:tcPr>
            <w:tcW w:type="dxa" w:w="4510"/>
            <w:vAlign w:val="center"/>
            <w:tcMar>
              <w:top w:w="90" w:type="dxa"/>
              <w:bottom w:w="90" w:type="dxa"/>
              <w:start w:w="120" w:type="dxa"/>
              <w:end w:w="120" w:type="dxa"/>
            </w:tcMar>
            <w:shd w:fill="F3F5F6"/>
          </w:tcPr>
          <w:p>
            <w:r>
              <w:rPr>
                <w:rFonts w:ascii="Aptos" w:hAnsi="Aptos"/>
                <w:b/>
                <w:i w:val="0"/>
                <w:color w:val="17324D"/>
                <w:sz w:val="18"/>
              </w:rPr>
              <w:t>Ajout proposé</w:t>
            </w:r>
          </w:p>
        </w:tc>
      </w:tr>
      <w:tr>
        <w:tc>
          <w:tcPr>
            <w:tcW w:type="dxa" w:w="1850"/>
          </w:tcPr>
          <w:p>
            <w:r>
              <w:rPr>
                <w:rFonts w:ascii="Aptos" w:hAnsi="Aptos"/>
                <w:b w:val="0"/>
                <w:i w:val="0"/>
                <w:color w:val="24323D"/>
                <w:sz w:val="18"/>
              </w:rPr>
              <w:t>M01–M02, M04–M05, M10–M13</w:t>
            </w:r>
          </w:p>
        </w:tc>
        <w:tc>
          <w:tcPr>
            <w:tcW w:type="dxa" w:w="3000"/>
          </w:tcPr>
          <w:p>
            <w:r>
              <w:rPr>
                <w:rFonts w:ascii="Aptos" w:hAnsi="Aptos"/>
                <w:b w:val="0"/>
                <w:i w:val="0"/>
                <w:color w:val="24323D"/>
                <w:sz w:val="18"/>
              </w:rPr>
              <w:t>Chapitre 12 : planification écologique</w:t>
            </w:r>
          </w:p>
        </w:tc>
        <w:tc>
          <w:tcPr>
            <w:tcW w:type="dxa" w:w="4510"/>
          </w:tcPr>
          <w:p>
            <w:r>
              <w:rPr>
                <w:rFonts w:ascii="Aptos" w:hAnsi="Aptos"/>
                <w:b w:val="0"/>
                <w:i w:val="0"/>
                <w:color w:val="24323D"/>
                <w:sz w:val="18"/>
              </w:rPr>
              <w:t>Rendre les lois-cadres, le Conseil, les données, les investissements et les évaluations contestables et continus.</w:t>
            </w:r>
          </w:p>
        </w:tc>
      </w:tr>
      <w:tr>
        <w:tc>
          <w:tcPr>
            <w:tcW w:type="dxa" w:w="1850"/>
          </w:tcPr>
          <w:p>
            <w:r>
              <w:rPr>
                <w:rFonts w:ascii="Aptos" w:hAnsi="Aptos"/>
                <w:b w:val="0"/>
                <w:i w:val="0"/>
                <w:color w:val="24323D"/>
                <w:sz w:val="18"/>
              </w:rPr>
              <w:t>M03, M06, M08</w:t>
            </w:r>
          </w:p>
        </w:tc>
        <w:tc>
          <w:tcPr>
            <w:tcW w:type="dxa" w:w="3000"/>
          </w:tcPr>
          <w:p>
            <w:r>
              <w:rPr>
                <w:rFonts w:ascii="Aptos" w:hAnsi="Aptos"/>
                <w:b w:val="0"/>
                <w:i w:val="0"/>
                <w:color w:val="24323D"/>
                <w:sz w:val="18"/>
              </w:rPr>
              <w:t>Chapitres 2 et 14 : biens communs</w:t>
            </w:r>
          </w:p>
        </w:tc>
        <w:tc>
          <w:tcPr>
            <w:tcW w:type="dxa" w:w="4510"/>
          </w:tcPr>
          <w:p>
            <w:r>
              <w:rPr>
                <w:rFonts w:ascii="Aptos" w:hAnsi="Aptos"/>
                <w:b w:val="0"/>
                <w:i w:val="0"/>
                <w:color w:val="24323D"/>
                <w:sz w:val="18"/>
              </w:rPr>
              <w:t>Donner aux communs de l'eau et aux pôles publics des règles de gouvernance, de recours et de continuité.</w:t>
            </w:r>
          </w:p>
        </w:tc>
      </w:tr>
      <w:tr>
        <w:tc>
          <w:tcPr>
            <w:tcW w:type="dxa" w:w="1850"/>
          </w:tcPr>
          <w:p>
            <w:r>
              <w:rPr>
                <w:rFonts w:ascii="Aptos" w:hAnsi="Aptos"/>
                <w:b w:val="0"/>
                <w:i w:val="0"/>
                <w:color w:val="24323D"/>
                <w:sz w:val="18"/>
              </w:rPr>
              <w:t>M07, M09, M15</w:t>
            </w:r>
          </w:p>
        </w:tc>
        <w:tc>
          <w:tcPr>
            <w:tcW w:type="dxa" w:w="3000"/>
          </w:tcPr>
          <w:p>
            <w:r>
              <w:rPr>
                <w:rFonts w:ascii="Aptos" w:hAnsi="Aptos"/>
                <w:b w:val="0"/>
                <w:i w:val="0"/>
                <w:color w:val="24323D"/>
                <w:sz w:val="18"/>
              </w:rPr>
              <w:t>Chapitre 1 : intervention populaire</w:t>
            </w:r>
          </w:p>
        </w:tc>
        <w:tc>
          <w:tcPr>
            <w:tcW w:type="dxa" w:w="4510"/>
          </w:tcPr>
          <w:p>
            <w:r>
              <w:rPr>
                <w:rFonts w:ascii="Aptos" w:hAnsi="Aptos"/>
                <w:b w:val="0"/>
                <w:i w:val="0"/>
                <w:color w:val="24323D"/>
                <w:sz w:val="18"/>
              </w:rPr>
              <w:t>Garantir l'accès effectif aux droits, l'arrêt des exceptions et le suivi citoyen des décisions.</w:t>
            </w:r>
          </w:p>
        </w:tc>
      </w:tr>
      <w:tr>
        <w:tc>
          <w:tcPr>
            <w:tcW w:type="dxa" w:w="1850"/>
          </w:tcPr>
          <w:p>
            <w:r>
              <w:rPr>
                <w:rFonts w:ascii="Aptos" w:hAnsi="Aptos"/>
                <w:b w:val="0"/>
                <w:i w:val="0"/>
                <w:color w:val="24323D"/>
                <w:sz w:val="18"/>
              </w:rPr>
              <w:t>M14</w:t>
            </w:r>
          </w:p>
        </w:tc>
        <w:tc>
          <w:tcPr>
            <w:tcW w:type="dxa" w:w="3000"/>
          </w:tcPr>
          <w:p>
            <w:r>
              <w:rPr>
                <w:rFonts w:ascii="Aptos" w:hAnsi="Aptos"/>
                <w:b w:val="0"/>
                <w:i w:val="0"/>
                <w:color w:val="24323D"/>
                <w:sz w:val="18"/>
              </w:rPr>
              <w:t>Chapitre 3 : citoyenneté dans l'entreprise</w:t>
            </w:r>
          </w:p>
        </w:tc>
        <w:tc>
          <w:tcPr>
            <w:tcW w:type="dxa" w:w="4510"/>
          </w:tcPr>
          <w:p>
            <w:r>
              <w:rPr>
                <w:rFonts w:ascii="Aptos" w:hAnsi="Aptos"/>
                <w:b w:val="0"/>
                <w:i w:val="0"/>
                <w:color w:val="24323D"/>
                <w:sz w:val="18"/>
              </w:rPr>
              <w:t>Prolonger les droits de préemption et de contrôle des salariés vers les infrastructures vitales abandonnées.</w:t>
            </w:r>
          </w:p>
        </w:tc>
      </w:tr>
    </w:tbl>
    <w:p>
      <w:pPr>
        <w:pStyle w:val="Heading1"/>
      </w:pPr>
      <w:r>
        <w:rPr>
          <w:rFonts w:ascii="Aptos" w:hAnsi="Aptos"/>
          <w:b w:val="0"/>
          <w:i w:val="0"/>
          <w:color w:val="24323D"/>
          <w:sz w:val="21"/>
        </w:rPr>
        <w:t>Limites et sources</w:t>
      </w:r>
    </w:p>
    <w:p>
      <w:r>
        <w:rPr>
          <w:rFonts w:ascii="Aptos" w:hAnsi="Aptos"/>
          <w:b w:val="0"/>
          <w:i w:val="0"/>
          <w:color w:val="24323D"/>
          <w:sz w:val="21"/>
        </w:rPr>
        <w:t>Les ancrages de la contribution 2026 reposent sur l'édition 2025 de L'Avenir en commun, mobilisée dans la séquence programmatique 2026 : « Une République permettant l'intervention populaire », « Collectiviser les biens communs fondamentaux », « Reconnaître la citoyenneté dans l'entreprise et des droits nouveaux aux salariés », « La bifurcation écologique pour une société de l'harmonie » et « Protection des biens communs et des droits de l'espèce ». Les liens, le droit applicable, les données budgétaires et les limites sont conservés dans le dossier source.</w:t>
      </w:r>
    </w:p>
    <w:p>
      <w:r>
        <w:rPr>
          <w:rFonts w:ascii="Aptos" w:hAnsi="Aptos"/>
          <w:b w:val="0"/>
          <w:i/>
          <w:color w:val="66737D"/>
          <w:sz w:val="18"/>
        </w:rPr>
        <w:t>Le document de référence est le dossier local CCT France, notamment 02b-matrice-amendements.md, 04-droit-et-competences.md, 05-budget-et-capacites.md, 08-contradiction.md et 10-auto-contradiction.md.</w:t>
      </w:r>
    </w:p>
    <w:p>
      <w:r>
        <w:br w:type="page"/>
      </w:r>
    </w:p>
    <w:p>
      <w:pPr>
        <w:pStyle w:val="Heading1"/>
      </w:pPr>
      <w:r>
        <w:rPr>
          <w:rFonts w:ascii="Aptos" w:hAnsi="Aptos"/>
          <w:b w:val="0"/>
          <w:i w:val="0"/>
          <w:color w:val="24323D"/>
          <w:sz w:val="21"/>
        </w:rPr>
        <w:t>Instruction juridique : ce qui doit être qualifié</w:t>
      </w:r>
    </w:p>
    <w:p>
      <w:r>
        <w:rPr>
          <w:rFonts w:ascii="Aptos" w:hAnsi="Aptos"/>
          <w:b w:val="0"/>
          <w:i w:val="0"/>
          <w:color w:val="66737D"/>
          <w:sz w:val="21"/>
        </w:rPr>
        <w:t>Les propositions ci-dessous s'appuient sur du droit existant. Elles ne sont pas des avis juridiques et ne prétendent pas que le texte d'application est déjà écrit.</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tblHeader w:val="true"/>
        </w:trPr>
        <w:tc>
          <w:tcPr>
            <w:tcW w:type="dxa" w:w="1900"/>
            <w:vAlign w:val="center"/>
            <w:tcMar>
              <w:top w:w="90" w:type="dxa"/>
              <w:bottom w:w="90" w:type="dxa"/>
              <w:start w:w="120" w:type="dxa"/>
              <w:end w:w="120" w:type="dxa"/>
            </w:tcMar>
            <w:shd w:fill="F3F5F6"/>
          </w:tcPr>
          <w:p>
            <w:r>
              <w:rPr>
                <w:rFonts w:ascii="Aptos" w:hAnsi="Aptos"/>
                <w:b/>
                <w:i w:val="0"/>
                <w:color w:val="17324D"/>
                <w:sz w:val="18"/>
              </w:rPr>
              <w:t>Mesures</w:t>
            </w:r>
          </w:p>
        </w:tc>
        <w:tc>
          <w:tcPr>
            <w:tcW w:type="dxa" w:w="2700"/>
            <w:vAlign w:val="center"/>
            <w:tcMar>
              <w:top w:w="90" w:type="dxa"/>
              <w:bottom w:w="90" w:type="dxa"/>
              <w:start w:w="120" w:type="dxa"/>
              <w:end w:w="120" w:type="dxa"/>
            </w:tcMar>
            <w:shd w:fill="F3F5F6"/>
          </w:tcPr>
          <w:p>
            <w:r>
              <w:rPr>
                <w:rFonts w:ascii="Aptos" w:hAnsi="Aptos"/>
                <w:b/>
                <w:i w:val="0"/>
                <w:color w:val="17324D"/>
                <w:sz w:val="18"/>
              </w:rPr>
              <w:t>Voie</w:t>
            </w:r>
          </w:p>
        </w:tc>
        <w:tc>
          <w:tcPr>
            <w:tcW w:type="dxa" w:w="4760"/>
            <w:vAlign w:val="center"/>
            <w:tcMar>
              <w:top w:w="90" w:type="dxa"/>
              <w:bottom w:w="90" w:type="dxa"/>
              <w:start w:w="120" w:type="dxa"/>
              <w:end w:w="120" w:type="dxa"/>
            </w:tcMar>
            <w:shd w:fill="F3F5F6"/>
          </w:tcPr>
          <w:p>
            <w:r>
              <w:rPr>
                <w:rFonts w:ascii="Aptos" w:hAnsi="Aptos"/>
                <w:b/>
                <w:i w:val="0"/>
                <w:color w:val="17324D"/>
                <w:sz w:val="18"/>
              </w:rPr>
              <w:t>Question non résolue à l'envoi</w:t>
            </w:r>
          </w:p>
        </w:tc>
      </w:tr>
      <w:tr>
        <w:tc>
          <w:tcPr>
            <w:tcW w:type="dxa" w:w="1900"/>
          </w:tcPr>
          <w:p>
            <w:r>
              <w:rPr>
                <w:rFonts w:ascii="Aptos" w:hAnsi="Aptos"/>
                <w:b w:val="0"/>
                <w:i w:val="0"/>
                <w:color w:val="24323D"/>
                <w:sz w:val="17"/>
              </w:rPr>
              <w:t>M01, M02, M10, M12, M15</w:t>
            </w:r>
          </w:p>
        </w:tc>
        <w:tc>
          <w:tcPr>
            <w:tcW w:type="dxa" w:w="2700"/>
          </w:tcPr>
          <w:p>
            <w:r>
              <w:rPr>
                <w:rFonts w:ascii="Aptos" w:hAnsi="Aptos"/>
                <w:b w:val="0"/>
                <w:i w:val="0"/>
                <w:color w:val="24323D"/>
                <w:sz w:val="17"/>
              </w:rPr>
              <w:t>Loi, programmation et règlements des assemblées</w:t>
            </w:r>
          </w:p>
        </w:tc>
        <w:tc>
          <w:tcPr>
            <w:tcW w:type="dxa" w:w="4760"/>
          </w:tcPr>
          <w:p>
            <w:r>
              <w:rPr>
                <w:rFonts w:ascii="Aptos" w:hAnsi="Aptos"/>
                <w:b w:val="0"/>
                <w:i w:val="0"/>
                <w:color w:val="24323D"/>
                <w:sz w:val="17"/>
              </w:rPr>
              <w:t>Constitution art. 34 ; LOLF ; règles de participation. Définir précisément compétence, indicateurs et portée de la réponse publique.</w:t>
            </w:r>
          </w:p>
        </w:tc>
      </w:tr>
      <w:tr>
        <w:tc>
          <w:tcPr>
            <w:tcW w:type="dxa" w:w="1900"/>
          </w:tcPr>
          <w:p>
            <w:r>
              <w:rPr>
                <w:rFonts w:ascii="Aptos" w:hAnsi="Aptos"/>
                <w:b w:val="0"/>
                <w:i w:val="0"/>
                <w:color w:val="24323D"/>
                <w:sz w:val="17"/>
              </w:rPr>
              <w:t>M03</w:t>
            </w:r>
          </w:p>
        </w:tc>
        <w:tc>
          <w:tcPr>
            <w:tcW w:type="dxa" w:w="2700"/>
          </w:tcPr>
          <w:p>
            <w:r>
              <w:rPr>
                <w:rFonts w:ascii="Aptos" w:hAnsi="Aptos"/>
                <w:b w:val="0"/>
                <w:i w:val="0"/>
                <w:color w:val="24323D"/>
                <w:sz w:val="17"/>
              </w:rPr>
              <w:t>Code de l'environnement et gouvernance des bassins</w:t>
            </w:r>
          </w:p>
        </w:tc>
        <w:tc>
          <w:tcPr>
            <w:tcW w:type="dxa" w:w="4760"/>
          </w:tcPr>
          <w:p>
            <w:r>
              <w:rPr>
                <w:rFonts w:ascii="Aptos" w:hAnsi="Aptos"/>
                <w:b w:val="0"/>
                <w:i w:val="0"/>
                <w:color w:val="24323D"/>
                <w:sz w:val="17"/>
              </w:rPr>
              <w:t>L211-1 fournit un socle de gestion durable ; articulation avec les instances existantes à instruire.</w:t>
            </w:r>
          </w:p>
        </w:tc>
      </w:tr>
      <w:tr>
        <w:tc>
          <w:tcPr>
            <w:tcW w:type="dxa" w:w="1900"/>
          </w:tcPr>
          <w:p>
            <w:r>
              <w:rPr>
                <w:rFonts w:ascii="Aptos" w:hAnsi="Aptos"/>
                <w:b w:val="0"/>
                <w:i w:val="0"/>
                <w:color w:val="24323D"/>
                <w:sz w:val="17"/>
              </w:rPr>
              <w:t>M04, M05, M06</w:t>
            </w:r>
          </w:p>
        </w:tc>
        <w:tc>
          <w:tcPr>
            <w:tcW w:type="dxa" w:w="2700"/>
          </w:tcPr>
          <w:p>
            <w:r>
              <w:rPr>
                <w:rFonts w:ascii="Aptos" w:hAnsi="Aptos"/>
                <w:b w:val="0"/>
                <w:i w:val="0"/>
                <w:color w:val="24323D"/>
                <w:sz w:val="17"/>
              </w:rPr>
              <w:t>Lois sectorielles et statuts des opérateurs</w:t>
            </w:r>
          </w:p>
        </w:tc>
        <w:tc>
          <w:tcPr>
            <w:tcW w:type="dxa" w:w="4760"/>
          </w:tcPr>
          <w:p>
            <w:r>
              <w:rPr>
                <w:rFonts w:ascii="Aptos" w:hAnsi="Aptos"/>
                <w:b w:val="0"/>
                <w:i w:val="0"/>
                <w:color w:val="24323D"/>
                <w:sz w:val="17"/>
              </w:rPr>
              <w:t>Définir service vital, niveau de publicité, accès aux données, responsabilités et continuité.</w:t>
            </w:r>
          </w:p>
        </w:tc>
      </w:tr>
      <w:tr>
        <w:tc>
          <w:tcPr>
            <w:tcW w:type="dxa" w:w="1900"/>
          </w:tcPr>
          <w:p>
            <w:r>
              <w:rPr>
                <w:rFonts w:ascii="Aptos" w:hAnsi="Aptos"/>
                <w:b w:val="0"/>
                <w:i w:val="0"/>
                <w:color w:val="24323D"/>
                <w:sz w:val="17"/>
              </w:rPr>
              <w:t>M07, M08</w:t>
            </w:r>
          </w:p>
        </w:tc>
        <w:tc>
          <w:tcPr>
            <w:tcW w:type="dxa" w:w="2700"/>
          </w:tcPr>
          <w:p>
            <w:r>
              <w:rPr>
                <w:rFonts w:ascii="Aptos" w:hAnsi="Aptos"/>
                <w:b w:val="0"/>
                <w:i w:val="0"/>
                <w:color w:val="24323D"/>
                <w:sz w:val="17"/>
              </w:rPr>
              <w:t>Droits des usagers et recours</w:t>
            </w:r>
          </w:p>
        </w:tc>
        <w:tc>
          <w:tcPr>
            <w:tcW w:type="dxa" w:w="4760"/>
          </w:tcPr>
          <w:p>
            <w:r>
              <w:rPr>
                <w:rFonts w:ascii="Aptos" w:hAnsi="Aptos"/>
                <w:b w:val="0"/>
                <w:i w:val="0"/>
                <w:color w:val="24323D"/>
                <w:sz w:val="17"/>
              </w:rPr>
              <w:t>Le CRPA et le Défenseur des droits donnent des points d'appui ; voie hors ligne et éventuelle extension organique à qualifier.</w:t>
            </w:r>
          </w:p>
        </w:tc>
      </w:tr>
      <w:tr>
        <w:tc>
          <w:tcPr>
            <w:tcW w:type="dxa" w:w="1900"/>
          </w:tcPr>
          <w:p>
            <w:r>
              <w:rPr>
                <w:rFonts w:ascii="Aptos" w:hAnsi="Aptos"/>
                <w:b w:val="0"/>
                <w:i w:val="0"/>
                <w:color w:val="24323D"/>
                <w:sz w:val="17"/>
              </w:rPr>
              <w:t>M09</w:t>
            </w:r>
          </w:p>
        </w:tc>
        <w:tc>
          <w:tcPr>
            <w:tcW w:type="dxa" w:w="2700"/>
          </w:tcPr>
          <w:p>
            <w:r>
              <w:rPr>
                <w:rFonts w:ascii="Aptos" w:hAnsi="Aptos"/>
                <w:b w:val="0"/>
                <w:i w:val="0"/>
                <w:color w:val="24323D"/>
                <w:sz w:val="17"/>
              </w:rPr>
              <w:t>Régimes d'urgence</w:t>
            </w:r>
          </w:p>
        </w:tc>
        <w:tc>
          <w:tcPr>
            <w:tcW w:type="dxa" w:w="4760"/>
          </w:tcPr>
          <w:p>
            <w:r>
              <w:rPr>
                <w:rFonts w:ascii="Aptos" w:hAnsi="Aptos"/>
                <w:b w:val="0"/>
                <w:i w:val="0"/>
                <w:color w:val="24323D"/>
                <w:sz w:val="17"/>
              </w:rPr>
              <w:t>Loi pour les régimes sectoriels ; articles 16 et 36 de la Constitution à traiter séparément.</w:t>
            </w:r>
          </w:p>
        </w:tc>
      </w:tr>
      <w:tr>
        <w:tc>
          <w:tcPr>
            <w:tcW w:type="dxa" w:w="1900"/>
          </w:tcPr>
          <w:p>
            <w:r>
              <w:rPr>
                <w:rFonts w:ascii="Aptos" w:hAnsi="Aptos"/>
                <w:b w:val="0"/>
                <w:i w:val="0"/>
                <w:color w:val="24323D"/>
                <w:sz w:val="17"/>
              </w:rPr>
              <w:t>M11, M14</w:t>
            </w:r>
          </w:p>
        </w:tc>
        <w:tc>
          <w:tcPr>
            <w:tcW w:type="dxa" w:w="2700"/>
          </w:tcPr>
          <w:p>
            <w:r>
              <w:rPr>
                <w:rFonts w:ascii="Aptos" w:hAnsi="Aptos"/>
                <w:b w:val="0"/>
                <w:i w:val="0"/>
                <w:color w:val="24323D"/>
                <w:sz w:val="17"/>
              </w:rPr>
              <w:t>Commande publique, droit du travail et procédures collectives</w:t>
            </w:r>
          </w:p>
        </w:tc>
        <w:tc>
          <w:tcPr>
            <w:tcW w:type="dxa" w:w="4760"/>
          </w:tcPr>
          <w:p>
            <w:r>
              <w:rPr>
                <w:rFonts w:ascii="Aptos" w:hAnsi="Aptos"/>
                <w:b w:val="0"/>
                <w:i w:val="0"/>
                <w:color w:val="24323D"/>
                <w:sz w:val="17"/>
              </w:rPr>
              <w:t>Critères liés à l'objet et proportionnés ; recherche de repreneur existante mais pas de reprise automatique.</w:t>
            </w:r>
          </w:p>
        </w:tc>
      </w:tr>
      <w:tr>
        <w:tc>
          <w:tcPr>
            <w:tcW w:type="dxa" w:w="1900"/>
          </w:tcPr>
          <w:p>
            <w:r>
              <w:rPr>
                <w:rFonts w:ascii="Aptos" w:hAnsi="Aptos"/>
                <w:b w:val="0"/>
                <w:i w:val="0"/>
                <w:color w:val="24323D"/>
                <w:sz w:val="17"/>
              </w:rPr>
              <w:t>M13</w:t>
            </w:r>
          </w:p>
        </w:tc>
        <w:tc>
          <w:tcPr>
            <w:tcW w:type="dxa" w:w="2700"/>
          </w:tcPr>
          <w:p>
            <w:r>
              <w:rPr>
                <w:rFonts w:ascii="Aptos" w:hAnsi="Aptos"/>
                <w:b w:val="0"/>
                <w:i w:val="0"/>
                <w:color w:val="24323D"/>
                <w:sz w:val="17"/>
              </w:rPr>
              <w:t>Loi de finances et contrats territoriaux</w:t>
            </w:r>
          </w:p>
        </w:tc>
        <w:tc>
          <w:tcPr>
            <w:tcW w:type="dxa" w:w="4760"/>
          </w:tcPr>
          <w:p>
            <w:r>
              <w:rPr>
                <w:rFonts w:ascii="Aptos" w:hAnsi="Aptos"/>
                <w:b w:val="0"/>
                <w:i w:val="0"/>
                <w:color w:val="24323D"/>
                <w:sz w:val="17"/>
              </w:rPr>
              <w:t>Crédits, recettes, règles de répartition et contrôle parlementaire doivent être votés.</w:t>
            </w:r>
          </w:p>
        </w:tc>
      </w:tr>
    </w:tbl>
    <w:p>
      <w:pPr>
        <w:pStyle w:val="Heading1"/>
      </w:pPr>
      <w:r>
        <w:rPr>
          <w:rFonts w:ascii="Aptos" w:hAnsi="Aptos"/>
          <w:b w:val="0"/>
          <w:i w:val="0"/>
          <w:color w:val="24323D"/>
          <w:sz w:val="21"/>
        </w:rPr>
        <w:t>Budget et capacités : ordre de réalité</w:t>
      </w:r>
    </w:p>
    <w:p>
      <w:r>
        <w:rPr>
          <w:rFonts w:ascii="Aptos" w:hAnsi="Aptos"/>
          <w:b w:val="0"/>
          <w:i w:val="0"/>
          <w:color w:val="24323D"/>
          <w:sz w:val="21"/>
        </w:rPr>
        <w:t>Aucun total n'est affiché : additionner ces mesures créerait un chiffre faux. Le coût doit être instruit par périmètre, effectif, système, investissement, maintenance, financement et hypothèses. Les lois de finances imposent une présentation sincère des charges prévisibles.</w:t>
      </w:r>
    </w:p>
    <w:tbl>
      <w:tblPr>
        <w:tblStyle w:val="TableGrid"/>
        <w:tblW w:type="dxa" w:w="9360"/>
        <w:jc w:val="left"/>
        <w:tblLayout w:type="fixed"/>
        <w:tblLook w:firstColumn="1" w:firstRow="1" w:lastColumn="0" w:lastRow="0" w:noHBand="0" w:noVBand="1" w:val="04A0"/>
        <w:tblInd w:w="120" w:type="dxa"/>
      </w:tblPr>
      <w:tblGrid>
        <w:gridCol w:w="1750"/>
        <w:gridCol w:w="1650"/>
        <w:gridCol w:w="3000"/>
        <w:gridCol w:w="2960"/>
      </w:tblGrid>
      <w:tr>
        <w:trPr>
          <w:tblHeader w:val="true"/>
        </w:trPr>
        <w:tc>
          <w:tcPr>
            <w:tcW w:type="dxa" w:w="1750"/>
            <w:vAlign w:val="center"/>
            <w:tcMar>
              <w:top w:w="90" w:type="dxa"/>
              <w:bottom w:w="90" w:type="dxa"/>
              <w:start w:w="120" w:type="dxa"/>
              <w:end w:w="120" w:type="dxa"/>
            </w:tcMar>
            <w:shd w:fill="F3F5F6"/>
          </w:tcPr>
          <w:p>
            <w:r>
              <w:rPr>
                <w:rFonts w:ascii="Aptos" w:hAnsi="Aptos"/>
                <w:b/>
                <w:i w:val="0"/>
                <w:color w:val="17324D"/>
                <w:sz w:val="17"/>
              </w:rPr>
              <w:t>Bloc</w:t>
            </w:r>
          </w:p>
        </w:tc>
        <w:tc>
          <w:tcPr>
            <w:tcW w:type="dxa" w:w="1650"/>
            <w:vAlign w:val="center"/>
            <w:tcMar>
              <w:top w:w="90" w:type="dxa"/>
              <w:bottom w:w="90" w:type="dxa"/>
              <w:start w:w="120" w:type="dxa"/>
              <w:end w:w="120" w:type="dxa"/>
            </w:tcMar>
            <w:shd w:fill="F3F5F6"/>
          </w:tcPr>
          <w:p>
            <w:r>
              <w:rPr>
                <w:rFonts w:ascii="Aptos" w:hAnsi="Aptos"/>
                <w:b/>
                <w:i w:val="0"/>
                <w:color w:val="17324D"/>
                <w:sz w:val="17"/>
              </w:rPr>
              <w:t>Mesures</w:t>
            </w:r>
          </w:p>
        </w:tc>
        <w:tc>
          <w:tcPr>
            <w:tcW w:type="dxa" w:w="3000"/>
            <w:vAlign w:val="center"/>
            <w:tcMar>
              <w:top w:w="90" w:type="dxa"/>
              <w:bottom w:w="90" w:type="dxa"/>
              <w:start w:w="120" w:type="dxa"/>
              <w:end w:w="120" w:type="dxa"/>
            </w:tcMar>
            <w:shd w:fill="F3F5F6"/>
          </w:tcPr>
          <w:p>
            <w:r>
              <w:rPr>
                <w:rFonts w:ascii="Aptos" w:hAnsi="Aptos"/>
                <w:b/>
                <w:i w:val="0"/>
                <w:color w:val="17324D"/>
                <w:sz w:val="17"/>
              </w:rPr>
              <w:t>Dépense à isoler</w:t>
            </w:r>
          </w:p>
        </w:tc>
        <w:tc>
          <w:tcPr>
            <w:tcW w:type="dxa" w:w="2960"/>
            <w:vAlign w:val="center"/>
            <w:tcMar>
              <w:top w:w="90" w:type="dxa"/>
              <w:bottom w:w="90" w:type="dxa"/>
              <w:start w:w="120" w:type="dxa"/>
              <w:end w:w="120" w:type="dxa"/>
            </w:tcMar>
            <w:shd w:fill="F3F5F6"/>
          </w:tcPr>
          <w:p>
            <w:r>
              <w:rPr>
                <w:rFonts w:ascii="Aptos" w:hAnsi="Aptos"/>
                <w:b/>
                <w:i w:val="0"/>
                <w:color w:val="17324D"/>
                <w:sz w:val="17"/>
              </w:rPr>
              <w:t>Passage à l'étape suivante</w:t>
            </w:r>
          </w:p>
        </w:tc>
      </w:tr>
      <w:tr>
        <w:tc>
          <w:tcPr>
            <w:tcW w:type="dxa" w:w="1750"/>
          </w:tcPr>
          <w:p>
            <w:r>
              <w:rPr>
                <w:rFonts w:ascii="Aptos" w:hAnsi="Aptos"/>
                <w:b w:val="0"/>
                <w:i w:val="0"/>
                <w:color w:val="24323D"/>
                <w:sz w:val="17"/>
              </w:rPr>
              <w:t>Architecture démocratique</w:t>
            </w:r>
          </w:p>
        </w:tc>
        <w:tc>
          <w:tcPr>
            <w:tcW w:type="dxa" w:w="1650"/>
          </w:tcPr>
          <w:p>
            <w:r>
              <w:rPr>
                <w:rFonts w:ascii="Aptos" w:hAnsi="Aptos"/>
                <w:b w:val="0"/>
                <w:i w:val="0"/>
                <w:color w:val="24323D"/>
                <w:sz w:val="17"/>
              </w:rPr>
              <w:t>M01, M02, M10, M12, M15</w:t>
            </w:r>
          </w:p>
        </w:tc>
        <w:tc>
          <w:tcPr>
            <w:tcW w:type="dxa" w:w="3000"/>
          </w:tcPr>
          <w:p>
            <w:r>
              <w:rPr>
                <w:rFonts w:ascii="Aptos" w:hAnsi="Aptos"/>
                <w:b w:val="0"/>
                <w:i w:val="0"/>
                <w:color w:val="24323D"/>
                <w:sz w:val="17"/>
              </w:rPr>
              <w:t>secrétariats, données, indemnisation, contre-expertise</w:t>
            </w:r>
          </w:p>
        </w:tc>
        <w:tc>
          <w:tcPr>
            <w:tcW w:type="dxa" w:w="2960"/>
          </w:tcPr>
          <w:p>
            <w:r>
              <w:rPr>
                <w:rFonts w:ascii="Aptos" w:hAnsi="Aptos"/>
                <w:b w:val="0"/>
                <w:i w:val="0"/>
                <w:color w:val="24323D"/>
                <w:sz w:val="17"/>
              </w:rPr>
              <w:t>participants, fréquence, méthodes et systèmes définis</w:t>
            </w:r>
          </w:p>
        </w:tc>
      </w:tr>
      <w:tr>
        <w:tc>
          <w:tcPr>
            <w:tcW w:type="dxa" w:w="1750"/>
          </w:tcPr>
          <w:p>
            <w:r>
              <w:rPr>
                <w:rFonts w:ascii="Aptos" w:hAnsi="Aptos"/>
                <w:b w:val="0"/>
                <w:i w:val="0"/>
                <w:color w:val="24323D"/>
                <w:sz w:val="17"/>
              </w:rPr>
              <w:t>Eau et continuité</w:t>
            </w:r>
          </w:p>
        </w:tc>
        <w:tc>
          <w:tcPr>
            <w:tcW w:type="dxa" w:w="1650"/>
          </w:tcPr>
          <w:p>
            <w:r>
              <w:rPr>
                <w:rFonts w:ascii="Aptos" w:hAnsi="Aptos"/>
                <w:b w:val="0"/>
                <w:i w:val="0"/>
                <w:color w:val="24323D"/>
                <w:sz w:val="17"/>
              </w:rPr>
              <w:t>M03, M04, M05, M13</w:t>
            </w:r>
          </w:p>
        </w:tc>
        <w:tc>
          <w:tcPr>
            <w:tcW w:type="dxa" w:w="3000"/>
          </w:tcPr>
          <w:p>
            <w:r>
              <w:rPr>
                <w:rFonts w:ascii="Aptos" w:hAnsi="Aptos"/>
                <w:b w:val="0"/>
                <w:i w:val="0"/>
                <w:color w:val="24323D"/>
                <w:sz w:val="17"/>
              </w:rPr>
              <w:t>cartographies, exercices, stocks, maintenance, réparation</w:t>
            </w:r>
          </w:p>
        </w:tc>
        <w:tc>
          <w:tcPr>
            <w:tcW w:type="dxa" w:w="2960"/>
          </w:tcPr>
          <w:p>
            <w:r>
              <w:rPr>
                <w:rFonts w:ascii="Aptos" w:hAnsi="Aptos"/>
                <w:b w:val="0"/>
                <w:i w:val="0"/>
                <w:color w:val="24323D"/>
                <w:sz w:val="17"/>
              </w:rPr>
              <w:t>service, territoire, responsable et solution de secours identifiés</w:t>
            </w:r>
          </w:p>
        </w:tc>
      </w:tr>
      <w:tr>
        <w:tc>
          <w:tcPr>
            <w:tcW w:type="dxa" w:w="1750"/>
          </w:tcPr>
          <w:p>
            <w:r>
              <w:rPr>
                <w:rFonts w:ascii="Aptos" w:hAnsi="Aptos"/>
                <w:b w:val="0"/>
                <w:i w:val="0"/>
                <w:color w:val="24323D"/>
                <w:sz w:val="17"/>
              </w:rPr>
              <w:t>Droits effectifs</w:t>
            </w:r>
          </w:p>
        </w:tc>
        <w:tc>
          <w:tcPr>
            <w:tcW w:type="dxa" w:w="1650"/>
          </w:tcPr>
          <w:p>
            <w:r>
              <w:rPr>
                <w:rFonts w:ascii="Aptos" w:hAnsi="Aptos"/>
                <w:b w:val="0"/>
                <w:i w:val="0"/>
                <w:color w:val="24323D"/>
                <w:sz w:val="17"/>
              </w:rPr>
              <w:t>M07, M08, M09</w:t>
            </w:r>
          </w:p>
        </w:tc>
        <w:tc>
          <w:tcPr>
            <w:tcW w:type="dxa" w:w="3000"/>
          </w:tcPr>
          <w:p>
            <w:r>
              <w:rPr>
                <w:rFonts w:ascii="Aptos" w:hAnsi="Aptos"/>
                <w:b w:val="0"/>
                <w:i w:val="0"/>
                <w:color w:val="24323D"/>
                <w:sz w:val="17"/>
              </w:rPr>
              <w:t>guichets, médiation, recours, formation</w:t>
            </w:r>
          </w:p>
        </w:tc>
        <w:tc>
          <w:tcPr>
            <w:tcW w:type="dxa" w:w="2960"/>
          </w:tcPr>
          <w:p>
            <w:r>
              <w:rPr>
                <w:rFonts w:ascii="Aptos" w:hAnsi="Aptos"/>
                <w:b w:val="0"/>
                <w:i w:val="0"/>
                <w:color w:val="24323D"/>
                <w:sz w:val="17"/>
              </w:rPr>
              <w:t>droit vital, voie humaine et délai de correction fixés</w:t>
            </w:r>
          </w:p>
        </w:tc>
      </w:tr>
      <w:tr>
        <w:tc>
          <w:tcPr>
            <w:tcW w:type="dxa" w:w="1750"/>
          </w:tcPr>
          <w:p>
            <w:r>
              <w:rPr>
                <w:rFonts w:ascii="Aptos" w:hAnsi="Aptos"/>
                <w:b w:val="0"/>
                <w:i w:val="0"/>
                <w:color w:val="24323D"/>
                <w:sz w:val="17"/>
              </w:rPr>
              <w:t>Production et achat</w:t>
            </w:r>
          </w:p>
        </w:tc>
        <w:tc>
          <w:tcPr>
            <w:tcW w:type="dxa" w:w="1650"/>
          </w:tcPr>
          <w:p>
            <w:r>
              <w:rPr>
                <w:rFonts w:ascii="Aptos" w:hAnsi="Aptos"/>
                <w:b w:val="0"/>
                <w:i w:val="0"/>
                <w:color w:val="24323D"/>
                <w:sz w:val="17"/>
              </w:rPr>
              <w:t>M06, M11, M14</w:t>
            </w:r>
          </w:p>
        </w:tc>
        <w:tc>
          <w:tcPr>
            <w:tcW w:type="dxa" w:w="3000"/>
          </w:tcPr>
          <w:p>
            <w:r>
              <w:rPr>
                <w:rFonts w:ascii="Aptos" w:hAnsi="Aptos"/>
                <w:b w:val="0"/>
                <w:i w:val="0"/>
                <w:color w:val="24323D"/>
                <w:sz w:val="17"/>
              </w:rPr>
              <w:t>formation, audits, ingénierie de reprise, maintenance</w:t>
            </w:r>
          </w:p>
        </w:tc>
        <w:tc>
          <w:tcPr>
            <w:tcW w:type="dxa" w:w="2960"/>
          </w:tcPr>
          <w:p>
            <w:r>
              <w:rPr>
                <w:rFonts w:ascii="Aptos" w:hAnsi="Aptos"/>
                <w:b w:val="0"/>
                <w:i w:val="0"/>
                <w:color w:val="24323D"/>
                <w:sz w:val="17"/>
              </w:rPr>
              <w:t>diagnostic de capacité et compatibilité européenne documentés</w:t>
            </w:r>
          </w:p>
        </w:tc>
      </w:tr>
    </w:tbl>
    <w:p>
      <w:r>
        <w:rPr>
          <w:rFonts w:ascii="Aptos" w:hAnsi="Aptos"/>
          <w:b w:val="0"/>
          <w:i/>
          <w:color w:val="66737D"/>
          <w:sz w:val="18"/>
        </w:rPr>
        <w:t>Contrôle de sincérité : aucune aide sélective ou reprise ne doit être présentée comme automatiquement compatible avec le droit de l'Union ; aucune voie hors ligne comme financée sans effectifs et délais ; aucun fonds comme réel sans ressource et règles de décaissement.</w:t>
      </w:r>
    </w:p>
    <w:p>
      <w:pPr>
        <w:pStyle w:val="Heading1"/>
      </w:pPr>
      <w:r>
        <w:rPr>
          <w:rFonts w:ascii="Aptos" w:hAnsi="Aptos"/>
          <w:b w:val="0"/>
          <w:i w:val="0"/>
          <w:color w:val="24323D"/>
          <w:sz w:val="21"/>
        </w:rPr>
        <w:t>Objections et réponse courte</w:t>
      </w:r>
    </w:p>
    <w:p>
      <w:pPr>
        <w:spacing w:after="80"/>
      </w:pPr>
      <w:r>
        <w:rPr>
          <w:rFonts w:ascii="Aptos" w:hAnsi="Aptos"/>
          <w:b/>
          <w:i w:val="0"/>
          <w:color w:val="17324D"/>
          <w:sz w:val="20"/>
        </w:rPr>
        <w:t xml:space="preserve">Une bureaucratie de plus. </w:t>
      </w:r>
      <w:r>
        <w:rPr>
          <w:rFonts w:ascii="Aptos" w:hAnsi="Aptos"/>
          <w:b w:val="0"/>
          <w:i w:val="0"/>
          <w:color w:val="24323D"/>
          <w:sz w:val="20"/>
        </w:rPr>
        <w:t>Chaque organe doit avoir droit, budget, trace et clause de retrait ; les formalités inutiles doivent disparaître.</w:t>
      </w:r>
    </w:p>
    <w:p>
      <w:pPr>
        <w:spacing w:after="80"/>
      </w:pPr>
      <w:r>
        <w:rPr>
          <w:rFonts w:ascii="Aptos" w:hAnsi="Aptos"/>
          <w:b/>
          <w:i w:val="0"/>
          <w:color w:val="17324D"/>
          <w:sz w:val="20"/>
        </w:rPr>
        <w:t xml:space="preserve">Un frein à l'urgence. </w:t>
      </w:r>
      <w:r>
        <w:rPr>
          <w:rFonts w:ascii="Aptos" w:hAnsi="Aptos"/>
          <w:b w:val="0"/>
          <w:i w:val="0"/>
          <w:color w:val="24323D"/>
          <w:sz w:val="20"/>
        </w:rPr>
        <w:t>Les procédures conservatoires et les délais courts préservent l'action ; l'exception sans fin devient elle-même un risque.</w:t>
      </w:r>
    </w:p>
    <w:p>
      <w:pPr>
        <w:spacing w:after="80"/>
      </w:pPr>
      <w:r>
        <w:rPr>
          <w:rFonts w:ascii="Aptos" w:hAnsi="Aptos"/>
          <w:b/>
          <w:i w:val="0"/>
          <w:color w:val="17324D"/>
          <w:sz w:val="20"/>
        </w:rPr>
        <w:t xml:space="preserve">Une capture des communs. </w:t>
      </w:r>
      <w:r>
        <w:rPr>
          <w:rFonts w:ascii="Aptos" w:hAnsi="Aptos"/>
          <w:b w:val="0"/>
          <w:i w:val="0"/>
          <w:color w:val="24323D"/>
          <w:sz w:val="20"/>
        </w:rPr>
        <w:t>Représentation pluraliste, données publiques, recours et moyens de participation limitent la capture sans prétendre l'abolir.</w:t>
      </w:r>
    </w:p>
    <w:p>
      <w:pPr>
        <w:spacing w:after="80"/>
      </w:pPr>
      <w:r>
        <w:rPr>
          <w:rFonts w:ascii="Aptos" w:hAnsi="Aptos"/>
          <w:b/>
          <w:i w:val="0"/>
          <w:color w:val="17324D"/>
          <w:sz w:val="20"/>
        </w:rPr>
        <w:t xml:space="preserve">Un coût non financé. </w:t>
      </w:r>
      <w:r>
        <w:rPr>
          <w:rFonts w:ascii="Aptos" w:hAnsi="Aptos"/>
          <w:b w:val="0"/>
          <w:i w:val="0"/>
          <w:color w:val="24323D"/>
          <w:sz w:val="20"/>
        </w:rPr>
        <w:t>Aucun montant total n'est inventé : chaque crédit doit indiquer sa recette, ses métiers et ses coûts de maintenance.</w:t>
      </w:r>
    </w:p>
    <w:p>
      <w:pPr>
        <w:spacing w:after="80"/>
      </w:pPr>
      <w:r>
        <w:rPr>
          <w:rFonts w:ascii="Aptos" w:hAnsi="Aptos"/>
          <w:b/>
          <w:i w:val="0"/>
          <w:color w:val="17324D"/>
          <w:sz w:val="20"/>
        </w:rPr>
        <w:t xml:space="preserve">Une incompatibilité européenne. </w:t>
      </w:r>
      <w:r>
        <w:rPr>
          <w:rFonts w:ascii="Aptos" w:hAnsi="Aptos"/>
          <w:b w:val="0"/>
          <w:i w:val="0"/>
          <w:color w:val="24323D"/>
          <w:sz w:val="20"/>
        </w:rPr>
        <w:t>La commande publique doit rester liée à l'objet, transparente et proportionnée ; les aides sélectives sont qualifiées avant engagement.</w:t>
      </w:r>
    </w:p>
    <w:p>
      <w:pPr>
        <w:pStyle w:val="Heading1"/>
      </w:pPr>
      <w:r>
        <w:rPr>
          <w:rFonts w:ascii="Aptos" w:hAnsi="Aptos"/>
          <w:b w:val="0"/>
          <w:i w:val="0"/>
          <w:color w:val="24323D"/>
          <w:sz w:val="21"/>
        </w:rPr>
        <w:t>Ce que le paquet demande</w:t>
      </w:r>
    </w:p>
    <w:p>
      <w:r>
        <w:rPr>
          <w:rFonts w:ascii="Aptos" w:hAnsi="Aptos"/>
          <w:b w:val="0"/>
          <w:i w:val="0"/>
          <w:color w:val="24323D"/>
          <w:sz w:val="21"/>
        </w:rPr>
        <w:t>Pas l'adoption d'un bloc fermé. Il propose un menu cohérent de quinze amendements, chacun révisable ou écartable. Il demande que les engagements déjà présents soient dotés de règles de contrôle, de recours, de continuité et de retrait à la hauteur de leurs ambitions.</w:t>
      </w:r>
    </w:p>
    <w:p>
      <w:r>
        <w:rPr>
          <w:rFonts w:ascii="Aptos" w:hAnsi="Aptos"/>
          <w:b w:val="0"/>
          <w:i/>
          <w:color w:val="66737D"/>
          <w:sz w:val="18"/>
        </w:rPr>
        <w:t>État au jour de l'envoi : propositions rédigées, sourcées et auto-contradictoires ; ni réception, ni validation juridique, ni chiffrage définitif ne sont présumés.</w:t>
      </w:r>
    </w:p>
    <w:sectPr w:rsidR="00FC693F" w:rsidRPr="0006063C" w:rsidSect="00034616">
      <w:headerReference w:type="default" r:id="rId9"/>
      <w:footerReference w:type="default" r:id="rId10"/>
      <w:pgSz w:w="12240" w:h="15840"/>
      <w:pgMar w:top="1181" w:right="1296" w:bottom="1224"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6737D"/>
        <w:sz w:val="16"/>
      </w:rPr>
      <w:t xml:space="preserve">CCT France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37D"/>
        <w:sz w:val="16"/>
      </w:rPr>
      <w:t>CCT FRANCE  /  PAQUET DE TRANSMISSION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7E8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