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480"/>
        <w:jc w:val="center"/>
      </w:pPr>
      <w:r>
        <w:rPr>
          <w:rFonts w:ascii="Aptos" w:hAnsi="Aptos"/>
          <w:b/>
          <w:color w:val="000000"/>
          <w:sz w:val="19"/>
        </w:rPr>
        <w:t>LIVRE BLANC CONSTITUTIONNEL ET EXPÉRIMENTAL</w:t>
      </w:r>
    </w:p>
    <w:p>
      <w:pPr>
        <w:spacing w:after="300"/>
        <w:jc w:val="center"/>
      </w:pPr>
      <w:r>
        <w:rPr>
          <w:rFonts w:ascii="Aptos Display" w:hAnsi="Aptos Display"/>
          <w:b/>
          <w:color w:val="000000"/>
          <w:sz w:val="64"/>
        </w:rPr>
        <w:t>Confédération des</w:t>
        <w:br/>
        <w:t>communs terrestres</w:t>
      </w:r>
    </w:p>
    <w:p>
      <w:pPr>
        <w:spacing w:after="840"/>
        <w:jc w:val="center"/>
      </w:pPr>
      <w:r>
        <w:rPr>
          <w:rFonts w:ascii="Aptos" w:hAnsi="Aptos"/>
          <w:i/>
          <w:color w:val="000000"/>
          <w:sz w:val="28"/>
        </w:rPr>
        <w:t>Une architecture écosocialiste libertaire pour coordonner le monde sans souverain mondial illimité</w:t>
      </w:r>
    </w:p>
    <w:p>
      <w:pPr>
        <w:spacing w:after="1200"/>
        <w:jc w:val="center"/>
      </w:pPr>
      <w:r>
        <w:rPr>
          <w:rFonts w:ascii="Aptos" w:hAnsi="Aptos"/>
          <w:b/>
          <w:color w:val="66737D"/>
          <w:sz w:val="22"/>
        </w:rPr>
        <w:t>ÉTAT DE RECHERCHE  •  SEPTEMBRE 2026</w:t>
      </w:r>
    </w:p>
    <w:p>
      <w:pPr>
        <w:spacing w:before="160" w:after="160"/>
        <w:ind w:left="1656" w:right="1656"/>
        <w:jc w:val="center"/>
        <w:shd w:fill="17324D"/>
      </w:pPr>
      <w:r>
        <w:rPr>
          <w:rFonts w:ascii="Aptos" w:hAnsi="Aptos"/>
          <w:b/>
          <w:color w:val="FFFFFF"/>
          <w:sz w:val="18"/>
        </w:rPr>
        <w:t>PROPOSITION CONSOLIDÉE — NON VALIDÉE EMPIRIQUEMENT</w:t>
      </w:r>
    </w:p>
    <w:p>
      <w:r>
        <w:br w:type="page"/>
      </w:r>
    </w:p>
    <w:p>
      <w:pPr>
        <w:pStyle w:val="Heading1"/>
        <w:pageBreakBefore w:val="0"/>
      </w:pPr>
      <w:r>
        <w:t>Sommaire</w:t>
      </w:r>
    </w:p>
    <w:p>
      <w:pPr>
        <w:spacing w:before="140" w:after="40"/>
      </w:pPr>
      <w:r>
        <w:rPr>
          <w:rFonts w:ascii="Aptos" w:hAnsi="Aptos"/>
          <w:b/>
          <w:color w:val="177E89"/>
          <w:sz w:val="17"/>
        </w:rPr>
        <w:t>FONDEMENTS ET DÉCISION</w:t>
      </w:r>
    </w:p>
    <w:p>
      <w:pPr>
        <w:spacing w:after="30" w:line="240" w:lineRule="auto"/>
        <w:ind w:left="259"/>
      </w:pPr>
      <w:r>
        <w:rPr>
          <w:rFonts w:ascii="Aptos" w:hAnsi="Aptos"/>
          <w:color w:val="24323D"/>
          <w:sz w:val="17"/>
        </w:rPr>
        <w:t>Résumé et méthode de lecture</w:t>
      </w:r>
    </w:p>
    <w:p>
      <w:pPr>
        <w:spacing w:after="30" w:line="240" w:lineRule="auto"/>
        <w:ind w:left="259"/>
      </w:pPr>
      <w:r>
        <w:rPr>
          <w:rFonts w:ascii="Aptos" w:hAnsi="Aptos"/>
          <w:color w:val="24323D"/>
          <w:sz w:val="17"/>
        </w:rPr>
        <w:t>1. Une politique des interdépendances</w:t>
      </w:r>
    </w:p>
    <w:p>
      <w:pPr>
        <w:spacing w:after="30" w:line="240" w:lineRule="auto"/>
        <w:ind w:left="259"/>
      </w:pPr>
      <w:r>
        <w:rPr>
          <w:rFonts w:ascii="Aptos" w:hAnsi="Aptos"/>
          <w:color w:val="24323D"/>
          <w:sz w:val="17"/>
        </w:rPr>
        <w:t>2. Principes constitutionnels non négociables</w:t>
      </w:r>
    </w:p>
    <w:p>
      <w:pPr>
        <w:spacing w:after="30" w:line="240" w:lineRule="auto"/>
        <w:ind w:left="259"/>
      </w:pPr>
      <w:r>
        <w:rPr>
          <w:rFonts w:ascii="Aptos" w:hAnsi="Aptos"/>
          <w:color w:val="24323D"/>
          <w:sz w:val="17"/>
        </w:rPr>
        <w:t>3. Les unités politiques</w:t>
      </w:r>
    </w:p>
    <w:p>
      <w:pPr>
        <w:spacing w:after="30" w:line="240" w:lineRule="auto"/>
        <w:ind w:left="259"/>
      </w:pPr>
      <w:r>
        <w:rPr>
          <w:rFonts w:ascii="Aptos" w:hAnsi="Aptos"/>
          <w:color w:val="24323D"/>
          <w:sz w:val="17"/>
        </w:rPr>
        <w:t>4. Répartition des compétences</w:t>
      </w:r>
    </w:p>
    <w:p>
      <w:pPr>
        <w:spacing w:after="30" w:line="240" w:lineRule="auto"/>
        <w:ind w:left="259"/>
      </w:pPr>
      <w:r>
        <w:rPr>
          <w:rFonts w:ascii="Aptos" w:hAnsi="Aptos"/>
          <w:color w:val="24323D"/>
          <w:sz w:val="17"/>
        </w:rPr>
        <w:t>5. Institutions démocratiques</w:t>
      </w:r>
    </w:p>
    <w:p>
      <w:pPr>
        <w:spacing w:after="30" w:line="240" w:lineRule="auto"/>
        <w:ind w:left="259"/>
      </w:pPr>
      <w:r>
        <w:rPr>
          <w:rFonts w:ascii="Aptos" w:hAnsi="Aptos"/>
          <w:color w:val="24323D"/>
          <w:sz w:val="17"/>
        </w:rPr>
        <w:t>6. Comment une décision est prise</w:t>
      </w:r>
    </w:p>
    <w:p>
      <w:pPr>
        <w:spacing w:before="140" w:after="40"/>
      </w:pPr>
      <w:r>
        <w:rPr>
          <w:rFonts w:ascii="Aptos" w:hAnsi="Aptos"/>
          <w:b/>
          <w:color w:val="177E89"/>
          <w:sz w:val="17"/>
        </w:rPr>
        <w:t>ÉCONOMIE, ÉCOLOGIE ET GARANTIES</w:t>
      </w:r>
    </w:p>
    <w:p>
      <w:pPr>
        <w:spacing w:after="30" w:line="240" w:lineRule="auto"/>
        <w:ind w:left="259"/>
      </w:pPr>
      <w:r>
        <w:rPr>
          <w:rFonts w:ascii="Aptos" w:hAnsi="Aptos"/>
          <w:color w:val="24323D"/>
          <w:sz w:val="17"/>
        </w:rPr>
        <w:t>7. Constitution économique</w:t>
      </w:r>
    </w:p>
    <w:p>
      <w:pPr>
        <w:spacing w:after="30" w:line="240" w:lineRule="auto"/>
        <w:ind w:left="259"/>
      </w:pPr>
      <w:r>
        <w:rPr>
          <w:rFonts w:ascii="Aptos" w:hAnsi="Aptos"/>
          <w:color w:val="24323D"/>
          <w:sz w:val="17"/>
        </w:rPr>
        <w:t>8. Métabolisme écologique</w:t>
      </w:r>
    </w:p>
    <w:p>
      <w:pPr>
        <w:spacing w:after="30" w:line="240" w:lineRule="auto"/>
        <w:ind w:left="259"/>
      </w:pPr>
      <w:r>
        <w:rPr>
          <w:rFonts w:ascii="Aptos" w:hAnsi="Aptos"/>
          <w:color w:val="24323D"/>
          <w:sz w:val="17"/>
        </w:rPr>
        <w:t>9. Justice globale et réparation</w:t>
      </w:r>
    </w:p>
    <w:p>
      <w:pPr>
        <w:spacing w:after="30" w:line="240" w:lineRule="auto"/>
        <w:ind w:left="259"/>
      </w:pPr>
      <w:r>
        <w:rPr>
          <w:rFonts w:ascii="Aptos" w:hAnsi="Aptos"/>
          <w:color w:val="24323D"/>
          <w:sz w:val="17"/>
        </w:rPr>
        <w:t>10. Information, langues, connaissance et numérique</w:t>
      </w:r>
    </w:p>
    <w:p>
      <w:pPr>
        <w:spacing w:after="30" w:line="240" w:lineRule="auto"/>
        <w:ind w:left="259"/>
      </w:pPr>
      <w:r>
        <w:rPr>
          <w:rFonts w:ascii="Aptos" w:hAnsi="Aptos"/>
          <w:color w:val="24323D"/>
          <w:sz w:val="17"/>
        </w:rPr>
        <w:t>11. Justice, sûreté et force</w:t>
      </w:r>
    </w:p>
    <w:p>
      <w:pPr>
        <w:spacing w:after="30" w:line="240" w:lineRule="auto"/>
        <w:ind w:left="259"/>
      </w:pPr>
      <w:r>
        <w:rPr>
          <w:rFonts w:ascii="Aptos" w:hAnsi="Aptos"/>
          <w:color w:val="24323D"/>
          <w:sz w:val="17"/>
        </w:rPr>
        <w:t>12. Urgence sans dictature provisoire permanente</w:t>
      </w:r>
    </w:p>
    <w:p>
      <w:pPr>
        <w:spacing w:after="30" w:line="240" w:lineRule="auto"/>
        <w:ind w:left="259"/>
      </w:pPr>
      <w:r>
        <w:rPr>
          <w:rFonts w:ascii="Aptos" w:hAnsi="Aptos"/>
          <w:color w:val="24323D"/>
          <w:sz w:val="17"/>
        </w:rPr>
        <w:t>13. Où se cachent les centres de pouvoir</w:t>
      </w:r>
    </w:p>
    <w:p>
      <w:pPr>
        <w:spacing w:after="30" w:line="240" w:lineRule="auto"/>
        <w:ind w:left="259"/>
      </w:pPr>
      <w:r>
        <w:rPr>
          <w:rFonts w:ascii="Aptos" w:hAnsi="Aptos"/>
          <w:color w:val="24323D"/>
          <w:sz w:val="17"/>
        </w:rPr>
        <w:t>14. Prévenir la reconstitution des classes dominantes</w:t>
      </w:r>
    </w:p>
    <w:p>
      <w:pPr>
        <w:spacing w:after="30" w:line="240" w:lineRule="auto"/>
        <w:ind w:left="259"/>
      </w:pPr>
      <w:r>
        <w:rPr>
          <w:rFonts w:ascii="Aptos" w:hAnsi="Aptos"/>
          <w:color w:val="24323D"/>
          <w:sz w:val="17"/>
        </w:rPr>
        <w:t>15. Métriques et adaptation stratégique</w:t>
      </w:r>
    </w:p>
    <w:p>
      <w:pPr>
        <w:spacing w:after="30" w:line="240" w:lineRule="auto"/>
        <w:ind w:left="259"/>
      </w:pPr>
      <w:r>
        <w:rPr>
          <w:rFonts w:ascii="Aptos" w:hAnsi="Aptos"/>
          <w:color w:val="24323D"/>
          <w:sz w:val="17"/>
        </w:rPr>
        <w:t>Révision CCT POL 1 1 Marges et contre champ</w:t>
      </w:r>
    </w:p>
    <w:p>
      <w:pPr>
        <w:spacing w:after="30" w:line="240" w:lineRule="auto"/>
        <w:ind w:left="259"/>
      </w:pPr>
      <w:r>
        <w:rPr>
          <w:rFonts w:ascii="Aptos" w:hAnsi="Aptos"/>
          <w:color w:val="24323D"/>
          <w:sz w:val="17"/>
        </w:rPr>
        <w:t>16. Cycle de maintenance constitutionnelle</w:t>
      </w:r>
    </w:p>
    <w:p>
      <w:pPr>
        <w:spacing w:before="140" w:after="40"/>
      </w:pPr>
      <w:r>
        <w:rPr>
          <w:rFonts w:ascii="Aptos" w:hAnsi="Aptos"/>
          <w:b/>
          <w:color w:val="177E89"/>
          <w:sz w:val="17"/>
        </w:rPr>
        <w:t>TRANSITION, ÉPREUVES ET RECONSTRUCTION</w:t>
      </w:r>
    </w:p>
    <w:p>
      <w:pPr>
        <w:spacing w:after="30" w:line="240" w:lineRule="auto"/>
        <w:ind w:left="259"/>
      </w:pPr>
      <w:r>
        <w:rPr>
          <w:rFonts w:ascii="Aptos" w:hAnsi="Aptos"/>
          <w:color w:val="24323D"/>
          <w:sz w:val="17"/>
        </w:rPr>
        <w:t>17. Stratégie de transition</w:t>
      </w:r>
    </w:p>
    <w:p>
      <w:pPr>
        <w:spacing w:after="30" w:line="240" w:lineRule="auto"/>
        <w:ind w:left="259"/>
      </w:pPr>
      <w:r>
        <w:rPr>
          <w:rFonts w:ascii="Aptos" w:hAnsi="Aptos"/>
          <w:color w:val="24323D"/>
          <w:sz w:val="17"/>
        </w:rPr>
        <w:t>Lignée exécutable de la restauration et de la continuité</w:t>
      </w:r>
    </w:p>
    <w:p>
      <w:pPr>
        <w:spacing w:after="30" w:line="240" w:lineRule="auto"/>
        <w:ind w:left="259"/>
      </w:pPr>
      <w:r>
        <w:rPr>
          <w:rFonts w:ascii="Aptos" w:hAnsi="Aptos"/>
          <w:color w:val="24323D"/>
          <w:sz w:val="17"/>
        </w:rPr>
        <w:t>18. Tests de résistance</w:t>
      </w:r>
    </w:p>
    <w:p>
      <w:pPr>
        <w:spacing w:after="30" w:line="240" w:lineRule="auto"/>
        <w:ind w:left="259"/>
      </w:pPr>
      <w:r>
        <w:rPr>
          <w:rFonts w:ascii="Aptos" w:hAnsi="Aptos"/>
          <w:color w:val="24323D"/>
          <w:sz w:val="17"/>
        </w:rPr>
        <w:t>19. Tableau de bord minimal</w:t>
      </w:r>
    </w:p>
    <w:p>
      <w:pPr>
        <w:spacing w:after="30" w:line="240" w:lineRule="auto"/>
        <w:ind w:left="259"/>
      </w:pPr>
      <w:r>
        <w:rPr>
          <w:rFonts w:ascii="Aptos" w:hAnsi="Aptos"/>
          <w:color w:val="24323D"/>
          <w:sz w:val="17"/>
        </w:rPr>
        <w:t>20. Décisions politiques encore ouvertes</w:t>
      </w:r>
    </w:p>
    <w:p>
      <w:pPr>
        <w:spacing w:after="30" w:line="240" w:lineRule="auto"/>
        <w:ind w:left="259"/>
      </w:pPr>
      <w:r>
        <w:rPr>
          <w:rFonts w:ascii="Aptos" w:hAnsi="Aptos"/>
          <w:color w:val="24323D"/>
          <w:sz w:val="17"/>
        </w:rPr>
        <w:t>21. Conditions d’échec du modèle</w:t>
      </w:r>
    </w:p>
    <w:p>
      <w:pPr>
        <w:spacing w:after="30" w:line="240" w:lineRule="auto"/>
        <w:ind w:left="259"/>
      </w:pPr>
      <w:r>
        <w:rPr>
          <w:rFonts w:ascii="Aptos" w:hAnsi="Aptos"/>
          <w:color w:val="24323D"/>
          <w:sz w:val="17"/>
        </w:rPr>
        <w:t>22. Formule constitutionnelle courte</w:t>
      </w:r>
    </w:p>
    <w:p>
      <w:pPr>
        <w:spacing w:after="30" w:line="240" w:lineRule="auto"/>
        <w:ind w:left="259"/>
      </w:pPr>
      <w:r>
        <w:rPr>
          <w:rFonts w:ascii="Aptos" w:hAnsi="Aptos"/>
          <w:color w:val="24323D"/>
          <w:sz w:val="17"/>
        </w:rPr>
        <w:t>23. Conclusion et conditions de révision</w:t>
      </w:r>
    </w:p>
    <w:p>
      <w:pPr>
        <w:spacing w:after="30" w:line="240" w:lineRule="auto"/>
        <w:ind w:left="259"/>
      </w:pPr>
      <w:r>
        <w:rPr>
          <w:rFonts w:ascii="Aptos" w:hAnsi="Aptos"/>
          <w:color w:val="24323D"/>
          <w:sz w:val="17"/>
        </w:rPr>
        <w:t>Annexes — résultats et carte de validation</w:t>
      </w:r>
    </w:p>
    <w:p>
      <w:pPr>
        <w:pStyle w:val="Quote"/>
        <w:spacing w:line="240" w:lineRule="auto" w:before="100" w:after="80"/>
      </w:pPr>
      <w:r>
        <w:rPr>
          <w:rFonts w:ascii="Aptos" w:hAnsi="Aptos"/>
          <w:color w:val="17324D"/>
          <w:sz w:val="17"/>
        </w:rPr>
        <w:t>Ce document distingue les garanties constitutionnelles, les mécanismes proposés et les résultats expérimentaux. Les annexes conservent les échecs qui ont modifié le modèle.</w:t>
      </w:r>
    </w:p>
    <w:p>
      <w:r>
        <w:br w:type="page"/>
      </w:r>
    </w:p>
    <w:p>
      <w:pPr>
        <w:pStyle w:val="Heading1"/>
      </w:pPr>
      <w:r>
        <w:t>Résumé</w:t>
      </w:r>
    </w:p>
    <w:p>
      <w:r>
        <w:rPr>
          <w:rFonts w:ascii="Aptos" w:hAnsi="Aptos"/>
          <w:color w:val="24323D"/>
        </w:rPr>
        <w:t>La Confédération des communs terrestres (CCT) est une proposition pour organiser des interdépendances mondiales sans les remettre à un souverain mondial. Elle part d’une difficulté concrète : le climat, les chaînes d’approvisionnement, les infrastructures numériques, les migrations, les guerres et les monopoles dépassent les frontières, tandis que le contrôle démocratique, les recours et la responsabilité restent souvent locaux, dispersés ou impuissants.</w:t>
      </w:r>
    </w:p>
    <w:p>
      <w:r>
        <w:rPr>
          <w:rFonts w:ascii="Aptos" w:hAnsi="Aptos"/>
          <w:color w:val="24323D"/>
        </w:rPr>
        <w:t>La réponse proposée n’est ni un gouvernement unique de la Terre, ni une addition de communautés isolées. C’est une confédération de territoires démocratiques, de communs organisés autour de fonctions matérielles, et d’institutions mondiales aux compétences strictement limitées. Chaque niveau doit pouvoir agir là où il est nécessaire, mais aucun ne doit pouvoir s’étendre sans limite, se soustraire au contrôle ou rendre sa propre restitution impossible.</w:t>
      </w:r>
    </w:p>
    <w:p>
      <w:r>
        <w:rPr>
          <w:rFonts w:ascii="Aptos" w:hAnsi="Aptos"/>
          <w:color w:val="24323D"/>
        </w:rPr>
        <w:t>Ce livre blanc ne promet pas qu’une telle architecture fonctionne déjà. Il formule des garanties à construire, décrit des mécanismes candidats et conserve les situations où ils échouent. Les tests synthétiques et logiciels ont servi à découvrir des dépendances, des coûts et des contradictions ; ils ne démontrent ni une validité territoriale ni une supériorité générale.</w:t>
      </w:r>
    </w:p>
    <w:p>
      <w:pPr>
        <w:pStyle w:val="Quote"/>
        <w:shd w:fill="EEF5F4"/>
      </w:pPr>
      <w:r>
        <w:rPr>
          <w:rFonts w:ascii="Aptos" w:hAnsi="Aptos"/>
          <w:b/>
          <w:color w:val="24323D"/>
        </w:rPr>
        <w:t>Orientation.</w:t>
      </w:r>
      <w:r>
        <w:rPr>
          <w:rFonts w:ascii="Aptos" w:hAnsi="Aptos"/>
          <w:color w:val="24323D"/>
        </w:rPr>
        <w:t xml:space="preserve"> Garantir à chacun les conditions matérielles d’une vie libre ; protéger les limites écologiques communes ; distribuer l’initiative, l’exécution, le contrôle, le recours et l’arrêt de tout pouvoir. Chercher systématiquement le contre-champ des décisions, et juger leur réussite à la capacité réellement préservée plutôt qu’à l’argent dépensé ou aux intentions déclarées.</w:t>
      </w:r>
    </w:p>
    <w:p>
      <w:pPr>
        <w:pStyle w:val="Heading1"/>
      </w:pPr>
      <w:r>
        <w:t>Lire ce texte</w:t>
      </w:r>
    </w:p>
    <w:p>
      <w:r>
        <w:rPr>
          <w:rFonts w:ascii="Aptos" w:hAnsi="Aptos"/>
          <w:color w:val="24323D"/>
        </w:rPr>
        <w:t>Les premières parties décrivent l’architecture politique et économique. Les suivantes exposent les protections contre la concentration du pouvoir, les conditions de transition et ce que les mises à l’épreuve ont réellement appris. La dernière partie fixe les questions qui restent ouvertes et les conditions dans lesquelles la proposition devrait être révisée ou abandonnée.</w:t>
      </w:r>
    </w:p>
    <w:p>
      <w:r>
        <w:rPr>
          <w:rFonts w:ascii="Aptos" w:hAnsi="Aptos"/>
          <w:color w:val="24323D"/>
        </w:rPr>
        <w:t xml:space="preserve">Les mots </w:t>
      </w:r>
      <w:r>
        <w:rPr>
          <w:rFonts w:ascii="Aptos" w:hAnsi="Aptos"/>
          <w:i/>
          <w:color w:val="24323D"/>
        </w:rPr>
        <w:t>garantie</w:t>
      </w:r>
      <w:r>
        <w:rPr>
          <w:rFonts w:ascii="Aptos" w:hAnsi="Aptos"/>
          <w:color w:val="24323D"/>
        </w:rPr>
        <w:t xml:space="preserve">, </w:t>
      </w:r>
      <w:r>
        <w:rPr>
          <w:rFonts w:ascii="Aptos" w:hAnsi="Aptos"/>
          <w:i/>
          <w:color w:val="24323D"/>
        </w:rPr>
        <w:t>droit</w:t>
      </w:r>
      <w:r>
        <w:rPr>
          <w:rFonts w:ascii="Aptos" w:hAnsi="Aptos"/>
          <w:color w:val="24323D"/>
        </w:rPr>
        <w:t xml:space="preserve"> et </w:t>
      </w:r>
      <w:r>
        <w:rPr>
          <w:rFonts w:ascii="Aptos" w:hAnsi="Aptos"/>
          <w:i/>
          <w:color w:val="24323D"/>
        </w:rPr>
        <w:t>protection</w:t>
      </w:r>
      <w:r>
        <w:rPr>
          <w:rFonts w:ascii="Aptos" w:hAnsi="Aptos"/>
          <w:color w:val="24323D"/>
        </w:rPr>
        <w:t xml:space="preserve"> désignent ici des exigences normatives. Un droit n’est effectif que lorsqu’une personne peut l’exercer dans des conditions dégradées, obtenir une réponse, contester un refus et faire réparer une perte. Une règle écrite, un prototype logiciel ou une institution déclarée ne suffisent pas.</w:t>
      </w:r>
    </w:p>
    <w:p>
      <w:r>
        <w:rPr>
          <w:rFonts w:ascii="Aptos" w:hAnsi="Aptos"/>
          <w:color w:val="24323D"/>
        </w:rPr>
        <w:t>La version actuelle rend aussi explicite une règle d’attribution : aucun pouvoir, privilège ou dommage ne peut être imputé à une identité collective. Il faut démontrer un mécanisme — propriété, financement, décision, contrôle d’une ressource, acte ou effet — et conserver les limites de la preuve.</w:t>
      </w:r>
    </w:p>
    <w:p>
      <w:pPr>
        <w:pStyle w:val="Heading1"/>
      </w:pPr>
      <w:r>
        <w:t>1. Conclusion architecturale</w:t>
      </w:r>
    </w:p>
    <w:p>
      <w:r>
        <w:rPr>
          <w:rFonts w:ascii="Aptos" w:hAnsi="Aptos"/>
          <w:color w:val="24323D"/>
        </w:rPr>
        <w:t>La forme la plus cohérente n’est ni l’État mondial, ni la juxtaposition de communes souveraines, ni la planification centrale intégrale. C’est une architecture polycentrique composée de trois pouvoirs de nature différente :</w:t>
      </w:r>
    </w:p>
    <w:p>
      <w:pPr>
        <w:pStyle w:val="ListNumber"/>
        <w:numPr>
          <w:ilvl w:val="0"/>
          <w:numId w:val="10"/>
        </w:numPr>
      </w:pPr>
      <w:r>
        <w:rPr>
          <w:rFonts w:ascii="Aptos" w:hAnsi="Aptos"/>
          <w:color w:val="24323D"/>
        </w:rPr>
        <w:t xml:space="preserve">des </w:t>
      </w:r>
      <w:r>
        <w:rPr>
          <w:rFonts w:ascii="Aptos" w:hAnsi="Aptos"/>
          <w:b/>
          <w:color w:val="24323D"/>
        </w:rPr>
        <w:t>territoires démocratiques fédérés</w:t>
      </w:r>
      <w:r>
        <w:rPr>
          <w:rFonts w:ascii="Aptos" w:hAnsi="Aptos"/>
          <w:color w:val="24323D"/>
        </w:rPr>
        <w:t>, qui garantissent citoyenneté, droits et décisions de proximité ;</w:t>
      </w:r>
    </w:p>
    <w:p>
      <w:pPr>
        <w:pStyle w:val="ListNumber"/>
        <w:numPr>
          <w:ilvl w:val="0"/>
          <w:numId w:val="10"/>
        </w:numPr>
      </w:pPr>
      <w:r>
        <w:rPr>
          <w:rFonts w:ascii="Aptos" w:hAnsi="Aptos"/>
          <w:color w:val="24323D"/>
        </w:rPr>
        <w:t xml:space="preserve">des </w:t>
      </w:r>
      <w:r>
        <w:rPr>
          <w:rFonts w:ascii="Aptos" w:hAnsi="Aptos"/>
          <w:b/>
          <w:color w:val="24323D"/>
        </w:rPr>
        <w:t>communs fonctionnels</w:t>
      </w:r>
      <w:r>
        <w:rPr>
          <w:rFonts w:ascii="Aptos" w:hAnsi="Aptos"/>
          <w:color w:val="24323D"/>
        </w:rPr>
        <w:t>, qui administrent les ressources et infrastructures suivant leurs bassins réels d’usage ;</w:t>
      </w:r>
    </w:p>
    <w:p>
      <w:pPr>
        <w:pStyle w:val="ListNumber"/>
        <w:numPr>
          <w:ilvl w:val="0"/>
          <w:numId w:val="10"/>
        </w:numPr>
      </w:pPr>
      <w:r>
        <w:rPr>
          <w:rFonts w:ascii="Aptos" w:hAnsi="Aptos"/>
          <w:color w:val="24323D"/>
        </w:rPr>
        <w:t xml:space="preserve">une </w:t>
      </w:r>
      <w:r>
        <w:rPr>
          <w:rFonts w:ascii="Aptos" w:hAnsi="Aptos"/>
          <w:b/>
          <w:color w:val="24323D"/>
        </w:rPr>
        <w:t>confédération planétaire à mandat borné</w:t>
      </w:r>
      <w:r>
        <w:rPr>
          <w:rFonts w:ascii="Aptos" w:hAnsi="Aptos"/>
          <w:color w:val="24323D"/>
        </w:rPr>
        <w:t>, compétente uniquement pour les risques, droits et redistributions réellement transfrontaliers.</w:t>
      </w:r>
    </w:p>
    <w:p>
      <w:r>
        <w:rPr>
          <w:rFonts w:ascii="Aptos" w:hAnsi="Aptos"/>
          <w:color w:val="24323D"/>
        </w:rPr>
        <w:t xml:space="preserve">La règle structurante est : </w:t>
      </w:r>
      <w:r>
        <w:rPr>
          <w:rFonts w:ascii="Aptos" w:hAnsi="Aptos"/>
          <w:b/>
          <w:color w:val="24323D"/>
        </w:rPr>
        <w:t>centraliser la garantie et la coordination seulement quand l’échelle du problème l’exige ; distribuer l’initiative, l’exécution, le contrôle et la capacité de révocation</w:t>
      </w:r>
      <w:r>
        <w:rPr>
          <w:rFonts w:ascii="Aptos" w:hAnsi="Aptos"/>
          <w:color w:val="24323D"/>
        </w:rPr>
        <w:t>.</w:t>
      </w:r>
    </w:p>
    <w:p>
      <w:r>
        <w:rPr>
          <w:rFonts w:ascii="Aptos" w:hAnsi="Aptos"/>
          <w:color w:val="24323D"/>
        </w:rPr>
        <w:t>Le modèle distingue désormais trois couches :</w:t>
      </w:r>
    </w:p>
    <w:p>
      <w:pPr>
        <w:pStyle w:val="ListNumber"/>
        <w:numPr>
          <w:ilvl w:val="0"/>
          <w:numId w:val="11"/>
        </w:numPr>
      </w:pPr>
      <w:r>
        <w:rPr>
          <w:rFonts w:ascii="Aptos" w:hAnsi="Aptos"/>
          <w:color w:val="24323D"/>
        </w:rPr>
        <w:t xml:space="preserve">un </w:t>
      </w:r>
      <w:r>
        <w:rPr>
          <w:rFonts w:ascii="Aptos" w:hAnsi="Aptos"/>
          <w:b/>
          <w:color w:val="24323D"/>
        </w:rPr>
        <w:t>noyau constitutionnel simple</w:t>
      </w:r>
      <w:r>
        <w:rPr>
          <w:rFonts w:ascii="Aptos" w:hAnsi="Aptos"/>
          <w:color w:val="24323D"/>
        </w:rPr>
        <w:t>, identique partout et directement opposable ;</w:t>
      </w:r>
    </w:p>
    <w:p>
      <w:pPr>
        <w:pStyle w:val="ListNumber"/>
        <w:numPr>
          <w:ilvl w:val="0"/>
          <w:numId w:val="11"/>
        </w:numPr>
      </w:pPr>
      <w:r>
        <w:rPr>
          <w:rFonts w:ascii="Aptos" w:hAnsi="Aptos"/>
          <w:color w:val="24323D"/>
        </w:rPr>
        <w:t xml:space="preserve">des </w:t>
      </w:r>
      <w:r>
        <w:rPr>
          <w:rFonts w:ascii="Aptos" w:hAnsi="Aptos"/>
          <w:b/>
          <w:color w:val="24323D"/>
        </w:rPr>
        <w:t>institutions ordinaires lisibles</w:t>
      </w:r>
      <w:r>
        <w:rPr>
          <w:rFonts w:ascii="Aptos" w:hAnsi="Aptos"/>
          <w:color w:val="24323D"/>
        </w:rPr>
        <w:t>, adaptées aux territoires et aux fonctions ;</w:t>
      </w:r>
    </w:p>
    <w:p>
      <w:pPr>
        <w:pStyle w:val="ListNumber"/>
        <w:numPr>
          <w:ilvl w:val="0"/>
          <w:numId w:val="11"/>
        </w:numPr>
      </w:pPr>
      <w:r>
        <w:rPr>
          <w:rFonts w:ascii="Aptos" w:hAnsi="Aptos"/>
          <w:color w:val="24323D"/>
        </w:rPr>
        <w:t xml:space="preserve">des </w:t>
      </w:r>
      <w:r>
        <w:rPr>
          <w:rFonts w:ascii="Aptos" w:hAnsi="Aptos"/>
          <w:b/>
          <w:color w:val="24323D"/>
        </w:rPr>
        <w:t>modules de contrôle renforcé</w:t>
      </w:r>
      <w:r>
        <w:rPr>
          <w:rFonts w:ascii="Aptos" w:hAnsi="Aptos"/>
          <w:color w:val="24323D"/>
        </w:rPr>
        <w:t>, activés seulement lorsqu’une décision implique irréversibilité, secret, coercition, monopole, dommage exporté ou atteinte possible aux droits fondamentaux.</w:t>
      </w:r>
    </w:p>
    <w:p>
      <w:pPr>
        <w:jc w:val="center"/>
      </w:pPr>
      <w:r>
        <w:drawing>
          <wp:inline xmlns:a="http://schemas.openxmlformats.org/drawingml/2006/main" xmlns:pic="http://schemas.openxmlformats.org/drawingml/2006/picture">
            <wp:extent cx="5074920" cy="2483471"/>
            <wp:docPr id="1" name="Picture 1" descr="Architecture polycentrique de la Confédération des communs terrestres : articulation des territoires, communs fonctionnels et institutions mondiales bornées." title="Architecture institutionnelle de la CCT"/>
            <wp:cNvGraphicFramePr>
              <a:graphicFrameLocks noChangeAspect="1"/>
            </wp:cNvGraphicFramePr>
            <a:graphic>
              <a:graphicData uri="http://schemas.openxmlformats.org/drawingml/2006/picture">
                <pic:pic>
                  <pic:nvPicPr>
                    <pic:cNvPr id="0" name="cct-architecture.png"/>
                    <pic:cNvPicPr/>
                  </pic:nvPicPr>
                  <pic:blipFill>
                    <a:blip r:embed="rId11"/>
                    <a:stretch>
                      <a:fillRect/>
                    </a:stretch>
                  </pic:blipFill>
                  <pic:spPr>
                    <a:xfrm>
                      <a:off x="0" y="0"/>
                      <a:ext cx="5074920" cy="2483471"/>
                    </a:xfrm>
                    <a:prstGeom prst="rect"/>
                  </pic:spPr>
                </pic:pic>
              </a:graphicData>
            </a:graphic>
          </wp:inline>
        </w:drawing>
      </w:r>
    </w:p>
    <w:p>
      <w:pPr>
        <w:jc w:val="center"/>
      </w:pPr>
      <w:r>
        <w:rPr>
          <w:rFonts w:ascii="Aptos" w:hAnsi="Aptos"/>
          <w:i/>
          <w:color w:val="66737D"/>
          <w:sz w:val="17"/>
        </w:rPr>
        <w:t>Figure 1 — Architecture institutionnelle de la CCT</w:t>
      </w:r>
    </w:p>
    <w:p>
      <w:pPr>
        <w:pStyle w:val="Heading1"/>
      </w:pPr>
      <w:r>
        <w:t>2. Principes constitutionnels non négociables</w:t>
      </w:r>
    </w:p>
    <w:p>
      <w:pPr>
        <w:pStyle w:val="Heading2"/>
      </w:pPr>
      <w:r>
        <w:t>2.1 Égale dignité et sécurité matérielle</w:t>
      </w:r>
    </w:p>
    <w:p>
      <w:r>
        <w:rPr>
          <w:rFonts w:ascii="Aptos" w:hAnsi="Aptos"/>
          <w:color w:val="24323D"/>
        </w:rPr>
        <w:t>Toute personne dispose, indépendamment de son emploi, de sa nationalité ou de son statut administratif, d’un socle opposable : eau, alimentation, logement, énergie de base, soins, éducation, mobilité essentielle, accès numérique, protection juridique et participation politique.</w:t>
      </w:r>
    </w:p>
    <w:p>
      <w:pPr>
        <w:pStyle w:val="Heading2"/>
      </w:pPr>
      <w:r>
        <w:t>2.2 Liberté substantielle</w:t>
      </w:r>
    </w:p>
    <w:p>
      <w:r>
        <w:rPr>
          <w:rFonts w:ascii="Aptos" w:hAnsi="Aptos"/>
          <w:color w:val="24323D"/>
        </w:rPr>
        <w:t>La liberté comprend les libertés civiles classiques, mais aussi les moyens matériels de les exercer. Elle inclut notamment la liberté de conscience, d’expression, d’association, de circulation, de ne pas adhérer à une organisation, de contester les autorités et de quitter une communauté sans perdre ses droits fondamentaux.</w:t>
      </w:r>
    </w:p>
    <w:p>
      <w:pPr>
        <w:pStyle w:val="Heading2"/>
      </w:pPr>
      <w:r>
        <w:t>2.3 Limites écologiques contraignantes</w:t>
      </w:r>
    </w:p>
    <w:p>
      <w:r>
        <w:rPr>
          <w:rFonts w:ascii="Aptos" w:hAnsi="Aptos"/>
          <w:color w:val="24323D"/>
        </w:rPr>
        <w:t>Les budgets de matière, d’énergie, d’émissions, d’eau et d’usage des sols constituent des plafonds juridiques. Ils sont révisables lorsque les connaissances changent, mais ne peuvent être dépassés par une majorité ordinaire au détriment d’autres populations ou des générations futures.</w:t>
      </w:r>
    </w:p>
    <w:p>
      <w:pPr>
        <w:pStyle w:val="Heading2"/>
      </w:pPr>
      <w:r>
        <w:t>2.4 Subsidiarité exigeante</w:t>
      </w:r>
    </w:p>
    <w:p>
      <w:r>
        <w:rPr>
          <w:rFonts w:ascii="Aptos" w:hAnsi="Aptos"/>
          <w:color w:val="24323D"/>
        </w:rPr>
        <w:t>Une compétence appartient au niveau le plus proche des personnes concernées qui possède effectivement les moyens de l’exercer sans exporter ses dommages. Toute montée d’échelle doit être motivée, limitée, réévaluée et susceptible de redescendre.</w:t>
      </w:r>
    </w:p>
    <w:p>
      <w:pPr>
        <w:pStyle w:val="Heading2"/>
      </w:pPr>
      <w:r>
        <w:t>2.5 Socialisation pluraliste</w:t>
      </w:r>
    </w:p>
    <w:p>
      <w:r>
        <w:rPr>
          <w:rFonts w:ascii="Aptos" w:hAnsi="Aptos"/>
          <w:color w:val="24323D"/>
        </w:rPr>
        <w:t>La propriété sociale ne signifie pas propriété exclusive de l’État. Elle peut prendre la forme de communs, coopératives, régies publiques, fiducies foncières, mutuelles, associations ou droits d’usage. La forme dépend de la fonction, du risque et de l’échelle.</w:t>
      </w:r>
    </w:p>
    <w:p>
      <w:pPr>
        <w:pStyle w:val="Heading2"/>
      </w:pPr>
      <w:r>
        <w:t>2.6 Non-domination</w:t>
      </w:r>
    </w:p>
    <w:p>
      <w:r>
        <w:rPr>
          <w:rFonts w:ascii="Aptos" w:hAnsi="Aptos"/>
          <w:color w:val="24323D"/>
        </w:rPr>
        <w:t>Aucun acteur ne doit pouvoir durablement contrôler seul l’accès aux ressources vitales, à l’information publique, au crédit, à l’infrastructure, à la force, aux seuils écologiques ou aux règles de participation.</w:t>
      </w:r>
    </w:p>
    <w:p>
      <w:pPr>
        <w:pStyle w:val="Heading2"/>
      </w:pPr>
      <w:r>
        <w:t>2.7 Réversibilité et recours</w:t>
      </w:r>
    </w:p>
    <w:p>
      <w:r>
        <w:rPr>
          <w:rFonts w:ascii="Aptos" w:hAnsi="Aptos"/>
          <w:color w:val="24323D"/>
        </w:rPr>
        <w:t>Toute décision publique importante doit avoir un responsable identifiable, une durée, un mécanisme de contestation, une procédure de suspension et, lorsque matériellement possible, une voie de retour. L’irréversible exige un seuil de décision supérieur et une justification publique renforcée.</w:t>
      </w:r>
    </w:p>
    <w:p>
      <w:pPr>
        <w:pStyle w:val="Heading2"/>
      </w:pPr>
      <w:r>
        <w:t>2.8 Portabilité des droits</w:t>
      </w:r>
    </w:p>
    <w:p>
      <w:r>
        <w:rPr>
          <w:rFonts w:ascii="Aptos" w:hAnsi="Aptos"/>
          <w:color w:val="24323D"/>
        </w:rPr>
        <w:t>Les droits fondamentaux, dossiers essentiels, protections sociales et voies de recours suivent la personne. Aucun changement de commune, statut, emploi ou appartenance ne peut les interrompre. Sortir d’une institution n’oblige pas à perdre le monde matériel nécessaire à l’exercice de ses droits.</w:t>
      </w:r>
    </w:p>
    <w:p>
      <w:pPr>
        <w:pStyle w:val="Heading2"/>
      </w:pPr>
      <w:r>
        <w:t>2.9 Lisibilité institutionnelle</w:t>
      </w:r>
    </w:p>
    <w:p>
      <w:r>
        <w:rPr>
          <w:rFonts w:ascii="Aptos" w:hAnsi="Aptos"/>
          <w:color w:val="24323D"/>
        </w:rPr>
        <w:t>Toute personne dispose d’une porte d’entrée publique unique par problème. L’administration route ensuite la demande sans transférer sa propre complexité à l’usager. Pour chaque décision sont publiés ceux qui proposent, décident, exécutent, contrôlent, suspendent et réparent.</w:t>
      </w:r>
    </w:p>
    <w:p>
      <w:pPr>
        <w:pStyle w:val="Heading2"/>
      </w:pPr>
      <w:r>
        <w:t>2.10 Continuité des besoins vitaux</w:t>
      </w:r>
    </w:p>
    <w:p>
      <w:r>
        <w:rPr>
          <w:rFonts w:ascii="Aptos" w:hAnsi="Aptos"/>
          <w:color w:val="24323D"/>
        </w:rPr>
        <w:t>Les transformations de propriété ou de gouvernance ne peuvent interrompre eau, alimentation, énergie vitale, soins, paiements essentiels et communications de sécurité. La continuité protège les personnes, non les rentes ni le droit des anciens gestionnaires à retrouver leur veto.</w:t>
      </w:r>
    </w:p>
    <w:p>
      <w:pPr>
        <w:pStyle w:val="Heading2"/>
      </w:pPr>
      <w:r>
        <w:t>2.11 Contrôle proportionné au pouvoir</w:t>
      </w:r>
    </w:p>
    <w:p>
      <w:r>
        <w:rPr>
          <w:rFonts w:ascii="Aptos" w:hAnsi="Aptos"/>
          <w:color w:val="24323D"/>
        </w:rPr>
        <w:t>La charge de contrôle augmente avec la coercition, le secret, l’irréversibilité, la dépendance créée et la capacité d’exporter des dommages. Une opération quotidienne réversible n’est pas soumise à la même procédure qu’un armement, un monopole de réseau ou un budget planétaire.</w:t>
      </w:r>
    </w:p>
    <w:p>
      <w:pPr>
        <w:pStyle w:val="Heading2"/>
      </w:pPr>
      <w:r>
        <w:t>2.12 Pluralisme expérimental borné</w:t>
      </w:r>
    </w:p>
    <w:p>
      <w:r>
        <w:rPr>
          <w:rFonts w:ascii="Aptos" w:hAnsi="Aptos"/>
          <w:color w:val="24323D"/>
        </w:rPr>
        <w:t>Plusieurs mécanismes peuvent coexister lorsqu’ils respectent les mêmes droits, planchers sociaux et plafonds écologiques. Une institution n’est généralisée qu’après comparaison avec une alternative crédible ; son succès local ne devient pas une vérité constitutionnelle.</w:t>
      </w:r>
    </w:p>
    <w:p>
      <w:pPr>
        <w:pStyle w:val="Heading1"/>
      </w:pPr>
      <w:r>
        <w:t>3. Les unités politiques</w:t>
      </w:r>
    </w:p>
    <w:p>
      <w:pPr>
        <w:pStyle w:val="Heading2"/>
      </w:pPr>
      <w:r>
        <w:t>3.1 Commune ou quartier</w:t>
      </w:r>
    </w:p>
    <w:p>
      <w:r>
        <w:rPr>
          <w:rFonts w:ascii="Aptos" w:hAnsi="Aptos"/>
          <w:color w:val="24323D"/>
        </w:rPr>
        <w:t>Échelle de participation directe : services quotidiens, espaces publics, logement local, culture, entraide, budget participatif, police de proximité désarmée lorsque possible, médiation et adaptation locale des normes.</w:t>
      </w:r>
    </w:p>
    <w:p>
      <w:r>
        <w:rPr>
          <w:rFonts w:ascii="Aptos" w:hAnsi="Aptos"/>
          <w:color w:val="24323D"/>
        </w:rPr>
        <w:t>Taille indicative : assez petite pour permettre assemblées et jurys citoyens réels ; les grandes villes sont fédérations de quartiers et non unités politiques monolithiques.</w:t>
      </w:r>
    </w:p>
    <w:p>
      <w:pPr>
        <w:pStyle w:val="Heading2"/>
      </w:pPr>
      <w:r>
        <w:t>3.2 Biorégion ou bassin de vie</w:t>
      </w:r>
    </w:p>
    <w:p>
      <w:r>
        <w:rPr>
          <w:rFonts w:ascii="Aptos" w:hAnsi="Aptos"/>
          <w:color w:val="24323D"/>
        </w:rPr>
        <w:t>Délimitée par les interdépendances écologiques et sociales plutôt que par la seule histoire administrative : bassin versant, système alimentaire, aire de mobilité, continuité d’habitat et réseaux énergétiques.</w:t>
      </w:r>
    </w:p>
    <w:p>
      <w:r>
        <w:rPr>
          <w:rFonts w:ascii="Aptos" w:hAnsi="Aptos"/>
          <w:color w:val="24323D"/>
        </w:rPr>
        <w:t>Compétences : eau, sols, biodiversité, alimentation, transports régionaux, planification foncière, santé territoriale, adaptation climatique et péréquation entre communes.</w:t>
      </w:r>
    </w:p>
    <w:p>
      <w:pPr>
        <w:pStyle w:val="Heading2"/>
      </w:pPr>
      <w:r>
        <w:t>3.3 Fédération régionale</w:t>
      </w:r>
    </w:p>
    <w:p>
      <w:r>
        <w:rPr>
          <w:rFonts w:ascii="Aptos" w:hAnsi="Aptos"/>
          <w:color w:val="24323D"/>
        </w:rPr>
        <w:t>Elle coordonne les infrastructures lourdes, universités, hôpitaux spécialisés, réseaux électriques, industrie, grands transports, solidarité inter-biorégionale et droits sociaux communs.</w:t>
      </w:r>
    </w:p>
    <w:p>
      <w:r>
        <w:rPr>
          <w:rFonts w:ascii="Aptos" w:hAnsi="Aptos"/>
          <w:color w:val="24323D"/>
        </w:rPr>
        <w:t>Les anciens États peuvent devenir des fédérations régionales lorsqu’ils restent une échelle de solidarité pertinente. Leur souveraineté n’est plus absolue.</w:t>
      </w:r>
    </w:p>
    <w:p>
      <w:pPr>
        <w:pStyle w:val="Heading2"/>
      </w:pPr>
      <w:r>
        <w:t>3.4 Confédération planétaire</w:t>
      </w:r>
    </w:p>
    <w:p>
      <w:r>
        <w:rPr>
          <w:rFonts w:ascii="Aptos" w:hAnsi="Aptos"/>
          <w:color w:val="24323D"/>
        </w:rPr>
        <w:t>Ses compétences sont énumérées et fermées :</w:t>
      </w:r>
    </w:p>
    <w:p>
      <w:pPr>
        <w:pStyle w:val="ListBullet"/>
      </w:pPr>
      <w:r>
        <w:rPr>
          <w:rFonts w:ascii="Aptos" w:hAnsi="Aptos"/>
          <w:color w:val="24323D"/>
        </w:rPr>
        <w:t>plafonds planétaires et répartition initiale des budgets écologiques ;</w:t>
      </w:r>
    </w:p>
    <w:p>
      <w:pPr>
        <w:pStyle w:val="ListBullet"/>
      </w:pPr>
      <w:r>
        <w:rPr>
          <w:rFonts w:ascii="Aptos" w:hAnsi="Aptos"/>
          <w:color w:val="24323D"/>
        </w:rPr>
        <w:t>droits fondamentaux et statut universel de la personne ;</w:t>
      </w:r>
    </w:p>
    <w:p>
      <w:pPr>
        <w:pStyle w:val="ListBullet"/>
      </w:pPr>
      <w:r>
        <w:rPr>
          <w:rFonts w:ascii="Aptos" w:hAnsi="Aptos"/>
          <w:color w:val="24323D"/>
        </w:rPr>
        <w:t>prévention des guerres, désarmement et contrôle des armements stratégiques ;</w:t>
      </w:r>
    </w:p>
    <w:p>
      <w:pPr>
        <w:pStyle w:val="ListBullet"/>
      </w:pPr>
      <w:r>
        <w:rPr>
          <w:rFonts w:ascii="Aptos" w:hAnsi="Aptos"/>
          <w:color w:val="24323D"/>
        </w:rPr>
        <w:t>fiscalité des flux transnationaux et lutte contre les refuges réglementaires ;</w:t>
      </w:r>
    </w:p>
    <w:p>
      <w:pPr>
        <w:pStyle w:val="ListBullet"/>
      </w:pPr>
      <w:r>
        <w:rPr>
          <w:rFonts w:ascii="Aptos" w:hAnsi="Aptos"/>
          <w:color w:val="24323D"/>
        </w:rPr>
        <w:t>infrastructures et standards d’interopérabilité mondiaux ;</w:t>
      </w:r>
    </w:p>
    <w:p>
      <w:pPr>
        <w:pStyle w:val="ListBullet"/>
      </w:pPr>
      <w:r>
        <w:rPr>
          <w:rFonts w:ascii="Aptos" w:hAnsi="Aptos"/>
          <w:color w:val="24323D"/>
        </w:rPr>
        <w:t>pandémies et risques existentiels ;</w:t>
      </w:r>
    </w:p>
    <w:p>
      <w:pPr>
        <w:pStyle w:val="ListBullet"/>
      </w:pPr>
      <w:r>
        <w:rPr>
          <w:rFonts w:ascii="Aptos" w:hAnsi="Aptos"/>
          <w:color w:val="24323D"/>
        </w:rPr>
        <w:t>mobilité humaine, asile et protection des apatrides ;</w:t>
      </w:r>
    </w:p>
    <w:p>
      <w:pPr>
        <w:pStyle w:val="ListBullet"/>
      </w:pPr>
      <w:r>
        <w:rPr>
          <w:rFonts w:ascii="Aptos" w:hAnsi="Aptos"/>
          <w:color w:val="24323D"/>
        </w:rPr>
        <w:t>justice climatique, dette écologique et fonds de réparation ;</w:t>
      </w:r>
    </w:p>
    <w:p>
      <w:pPr>
        <w:pStyle w:val="ListBullet"/>
      </w:pPr>
      <w:r>
        <w:rPr>
          <w:rFonts w:ascii="Aptos" w:hAnsi="Aptos"/>
          <w:color w:val="24323D"/>
        </w:rPr>
        <w:t>arbitrage des conflits entre régions ou communs transfrontaliers.</w:t>
      </w:r>
    </w:p>
    <w:p>
      <w:r>
        <w:rPr>
          <w:rFonts w:ascii="Aptos" w:hAnsi="Aptos"/>
          <w:color w:val="24323D"/>
        </w:rPr>
        <w:t>Toute compétence non énumérée reste aux niveaux inférieurs. L’extension des compétences mondiales requiert une double ratification populaire et territoriale, puis une clause de réexamen.</w:t>
      </w:r>
    </w:p>
    <w:p>
      <w:pPr>
        <w:pStyle w:val="Heading2"/>
      </w:pPr>
      <w:r>
        <w:t>3.5 Communs fonctionnels</w:t>
      </w:r>
    </w:p>
    <w:p>
      <w:r>
        <w:rPr>
          <w:rFonts w:ascii="Aptos" w:hAnsi="Aptos"/>
          <w:color w:val="24323D"/>
        </w:rPr>
        <w:t>Les ressources suivent rarement les frontières. Des institutions dédiées administrent donc un fleuve, une forêt, une pêcherie, un réseau énergétique, un protocole numérique, une chaîne logistique ou un ensemble de connaissances.</w:t>
      </w:r>
    </w:p>
    <w:p>
      <w:r>
        <w:rPr>
          <w:rFonts w:ascii="Aptos" w:hAnsi="Aptos"/>
          <w:color w:val="24323D"/>
        </w:rPr>
        <w:t>Chaque commun réunit au minimum :</w:t>
      </w:r>
    </w:p>
    <w:p>
      <w:pPr>
        <w:pStyle w:val="ListBullet"/>
      </w:pPr>
      <w:r>
        <w:rPr>
          <w:rFonts w:ascii="Aptos" w:hAnsi="Aptos"/>
          <w:color w:val="24323D"/>
        </w:rPr>
        <w:t>les personnes qui en dépendent ;</w:t>
      </w:r>
    </w:p>
    <w:p>
      <w:pPr>
        <w:pStyle w:val="ListBullet"/>
      </w:pPr>
      <w:r>
        <w:rPr>
          <w:rFonts w:ascii="Aptos" w:hAnsi="Aptos"/>
          <w:color w:val="24323D"/>
        </w:rPr>
        <w:t>les travailleurs qui le maintiennent ;</w:t>
      </w:r>
    </w:p>
    <w:p>
      <w:pPr>
        <w:pStyle w:val="ListBullet"/>
      </w:pPr>
      <w:r>
        <w:rPr>
          <w:rFonts w:ascii="Aptos" w:hAnsi="Aptos"/>
          <w:color w:val="24323D"/>
        </w:rPr>
        <w:t>les territoires affectés ;</w:t>
      </w:r>
    </w:p>
    <w:p>
      <w:pPr>
        <w:pStyle w:val="ListBullet"/>
      </w:pPr>
      <w:r>
        <w:rPr>
          <w:rFonts w:ascii="Aptos" w:hAnsi="Aptos"/>
          <w:color w:val="24323D"/>
        </w:rPr>
        <w:t>une représentation des dommages écologiques ;</w:t>
      </w:r>
    </w:p>
    <w:p>
      <w:pPr>
        <w:pStyle w:val="ListBullet"/>
      </w:pPr>
      <w:r>
        <w:rPr>
          <w:rFonts w:ascii="Aptos" w:hAnsi="Aptos"/>
          <w:color w:val="24323D"/>
        </w:rPr>
        <w:t>des membres tirés au sort ;</w:t>
      </w:r>
    </w:p>
    <w:p>
      <w:pPr>
        <w:pStyle w:val="ListBullet"/>
      </w:pPr>
      <w:r>
        <w:rPr>
          <w:rFonts w:ascii="Aptos" w:hAnsi="Aptos"/>
          <w:color w:val="24323D"/>
        </w:rPr>
        <w:t>des contrôleurs indépendants sans pouvoir de gestion quotidien.</w:t>
      </w:r>
    </w:p>
    <w:p>
      <w:pPr>
        <w:pStyle w:val="Heading1"/>
      </w:pPr>
      <w:r>
        <w:t>4. Répartition des compétences</w:t>
      </w:r>
    </w:p>
    <w:tbl>
      <w:tblPr>
        <w:tblStyle w:val="TableGrid"/>
        <w:tblW w:type="dxa" w:w="9360"/>
        <w:jc w:val="left"/>
        <w:tblLayout w:type="fixed"/>
        <w:tblLook w:firstColumn="1" w:firstRow="1" w:lastColumn="0" w:lastRow="0" w:noHBand="0" w:noVBand="1" w:val="04A0"/>
        <w:tblInd w:w="120" w:type="dxa"/>
      </w:tblPr>
      <w:tblGrid>
        <w:gridCol w:w="3000"/>
        <w:gridCol w:w="1270"/>
        <w:gridCol w:w="1270"/>
        <w:gridCol w:w="1270"/>
        <w:gridCol w:w="2550"/>
      </w:tblGrid>
      <w:tr>
        <w:trPr>
          <w:tblHeader w:val="true"/>
          <w:cantSplit w:val="true"/>
        </w:trPr>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Domaine</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Local</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Biorégional</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Régional</w:t>
            </w:r>
          </w:p>
        </w:tc>
        <w:tc>
          <w:tcPr>
            <w:tcW w:type="dxa" w:w="255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Planétaire</w:t>
            </w:r>
          </w:p>
        </w:tc>
      </w:tr>
      <w:tr>
        <w:trPr>
          <w:cantSplit w:val="true"/>
        </w:trP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Logement</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réalisation, attribution, contrôle d’usage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péréquation foncière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normes et financement</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 minimal, fonds de rattrapage</w:t>
            </w:r>
          </w:p>
        </w:tc>
      </w:tr>
      <w:tr>
        <w:trPr>
          <w:cantSplit w:val="true"/>
        </w:trP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Alimentation</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distribution, jardins, cuisines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plan alimentaire et sols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réserves, recherche</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sécurité mondiale, interdiction du dumping</w:t>
            </w:r>
          </w:p>
        </w:tc>
      </w:tr>
      <w:tr>
        <w:trPr>
          <w:cantSplit w:val="true"/>
        </w:trP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Énergie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sobriété et micro-réseaux</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mix territorial</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réseau et industrie</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plafond carbone, transferts technologiques</w:t>
            </w:r>
          </w:p>
        </w:tc>
      </w:tr>
      <w:tr>
        <w:trPr>
          <w:cantSplit w:val="true"/>
        </w:trP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Santé</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soins primaires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prévention et hôpitaux généraux</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spécialités et production</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veille, brevets essentiels, réponse pandémique</w:t>
            </w:r>
          </w:p>
        </w:tc>
      </w:tr>
      <w:tr>
        <w:trPr>
          <w:cantSplit w:val="true"/>
        </w:trP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Transport</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marche, vélo, desserte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réseau quotidien</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ferroviaire et fret</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aviation, maritime, standards</w:t>
            </w:r>
          </w:p>
        </w:tc>
      </w:tr>
      <w:tr>
        <w:trPr>
          <w:cantSplit w:val="true"/>
        </w:trP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Numérique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accès, médiation</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centres de données adaptés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infrastructure publique</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protocoles ouverts, droits, cybersécurité commune</w:t>
            </w:r>
          </w:p>
        </w:tc>
      </w:tr>
      <w:tr>
        <w:trPr>
          <w:cantSplit w:val="true"/>
        </w:trP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Fiscalité</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assiette locale limitée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péréquation</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revenu, patrimoine, production</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carbone importé, finance, multinationales</w:t>
            </w:r>
          </w:p>
        </w:tc>
      </w:tr>
      <w:tr>
        <w:trPr>
          <w:cantSplit w:val="true"/>
        </w:trP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Justice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médiation et justice simple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juridictions ordinaires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appels</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fondamentaux et conflits transfrontaliers</w:t>
            </w:r>
          </w:p>
        </w:tc>
      </w:tr>
    </w:tbl>
    <w:p>
      <w:pPr>
        <w:spacing w:after="40"/>
      </w:pPr>
    </w:p>
    <w:p>
      <w:r>
        <w:rPr>
          <w:rFonts w:ascii="Aptos" w:hAnsi="Aptos"/>
          <w:color w:val="24323D"/>
        </w:rPr>
        <w:t>Une décision change de niveau si au moins un des critères suivants est établi : dommage exporté, ressource partagée, incapacité matérielle locale, droit universel menacé ou avantage manifeste de mutualisation. La simple préférence d’un niveau supérieur ne suffit pas.</w:t>
      </w:r>
    </w:p>
    <w:p>
      <w:pPr>
        <w:pStyle w:val="Heading2"/>
      </w:pPr>
      <w:r>
        <w:t>4.1 Registre de montée en échelle</w:t>
      </w:r>
    </w:p>
    <w:p>
      <w:r>
        <w:rPr>
          <w:rFonts w:ascii="Aptos" w:hAnsi="Aptos"/>
          <w:color w:val="24323D"/>
        </w:rPr>
        <w:t>Le passage d’une expérience locale à une règle générale n’est jamais présumé. Chaque proposition de fédéralisation documente : règle locale, conditions matérielles, apports extérieurs, population concernée, données perdues par agrégation, seuil retenu, variantes territoriales et propriété collective revendiquée.</w:t>
      </w:r>
    </w:p>
    <w:p>
      <w:r>
        <w:rPr>
          <w:rFonts w:ascii="Aptos" w:hAnsi="Aptos"/>
          <w:color w:val="24323D"/>
        </w:rPr>
        <w:t>Une coordination observée entre quelques communes ne prouve donc pas qu’une administration mondiale reproduira leur autonomie. Avant généralisation, on compare au moins deux formes d’agrégation et un scénario où la même finalité est obtenue sans transfert permanent de compétence. Si les résultats divergent selon l’agrégation, la pluralité est conservée ou la règle est bornée à son contexte.</w:t>
      </w:r>
    </w:p>
    <w:p>
      <w:pPr>
        <w:pStyle w:val="Heading1"/>
      </w:pPr>
      <w:r>
        <w:t>5. Institutions démocratiques</w:t>
      </w:r>
    </w:p>
    <w:p>
      <w:pPr>
        <w:pStyle w:val="Heading2"/>
      </w:pPr>
      <w:r>
        <w:t>5.1 Trois sources de légitimité, activées proportionnellement</w:t>
      </w:r>
    </w:p>
    <w:p>
      <w:r>
        <w:rPr>
          <w:rFonts w:ascii="Aptos" w:hAnsi="Aptos"/>
          <w:color w:val="24323D"/>
        </w:rPr>
        <w:t>À chaque niveau au-dessus de la commune existent trois sources de légitimité :</w:t>
      </w:r>
    </w:p>
    <w:p>
      <w:pPr>
        <w:pStyle w:val="ListNumber"/>
        <w:numPr>
          <w:ilvl w:val="0"/>
          <w:numId w:val="12"/>
        </w:numPr>
      </w:pPr>
      <w:r>
        <w:rPr>
          <w:rFonts w:ascii="Aptos" w:hAnsi="Aptos"/>
          <w:b/>
          <w:color w:val="24323D"/>
        </w:rPr>
        <w:t>Chambre des habitants</w:t>
      </w:r>
      <w:r>
        <w:rPr>
          <w:rFonts w:ascii="Aptos" w:hAnsi="Aptos"/>
          <w:color w:val="24323D"/>
        </w:rPr>
        <w:t>, élue à la proportionnelle ;</w:t>
      </w:r>
    </w:p>
    <w:p>
      <w:pPr>
        <w:pStyle w:val="ListNumber"/>
        <w:numPr>
          <w:ilvl w:val="0"/>
          <w:numId w:val="12"/>
        </w:numPr>
      </w:pPr>
      <w:r>
        <w:rPr>
          <w:rFonts w:ascii="Aptos" w:hAnsi="Aptos"/>
          <w:b/>
          <w:color w:val="24323D"/>
        </w:rPr>
        <w:t>Chambre des territoires</w:t>
      </w:r>
      <w:r>
        <w:rPr>
          <w:rFonts w:ascii="Aptos" w:hAnsi="Aptos"/>
          <w:color w:val="24323D"/>
        </w:rPr>
        <w:t>, où les unités membres sont représentées avec une dégressivité évitant à la fois l’hégémonie démographique et l’égalité fictive ;</w:t>
      </w:r>
    </w:p>
    <w:p>
      <w:pPr>
        <w:pStyle w:val="ListNumber"/>
        <w:numPr>
          <w:ilvl w:val="0"/>
          <w:numId w:val="12"/>
        </w:numPr>
      </w:pPr>
      <w:r>
        <w:rPr>
          <w:rFonts w:ascii="Aptos" w:hAnsi="Aptos"/>
          <w:b/>
          <w:color w:val="24323D"/>
        </w:rPr>
        <w:t>Conseil citoyen tiré au sort</w:t>
      </w:r>
      <w:r>
        <w:rPr>
          <w:rFonts w:ascii="Aptos" w:hAnsi="Aptos"/>
          <w:color w:val="24323D"/>
        </w:rPr>
        <w:t>, temporaire, stratifié et doté de temps, formation contradictoire et assistance indépendante.</w:t>
      </w:r>
    </w:p>
    <w:p>
      <w:r>
        <w:rPr>
          <w:rFonts w:ascii="Aptos" w:hAnsi="Aptos"/>
          <w:color w:val="24323D"/>
        </w:rPr>
        <w:t>Elles ne forment pas trois chambres permanentes dotées d’un veto général :</w:t>
      </w:r>
    </w:p>
    <w:p>
      <w:pPr>
        <w:pStyle w:val="ListBullet"/>
      </w:pPr>
      <w:r>
        <w:rPr>
          <w:rFonts w:ascii="Aptos" w:hAnsi="Aptos"/>
          <w:color w:val="24323D"/>
        </w:rPr>
        <w:t>la décision ordinaire relève de la chambre compétente et d’un contrôle a posteriori ;</w:t>
      </w:r>
    </w:p>
    <w:p>
      <w:pPr>
        <w:pStyle w:val="ListBullet"/>
      </w:pPr>
      <w:r>
        <w:rPr>
          <w:rFonts w:ascii="Aptos" w:hAnsi="Aptos"/>
          <w:color w:val="24323D"/>
        </w:rPr>
        <w:t>une décision distributive majeure ou transférant une compétence exige une double clé habitants-territoires ;</w:t>
      </w:r>
    </w:p>
    <w:p>
      <w:pPr>
        <w:pStyle w:val="ListBullet"/>
      </w:pPr>
      <w:r>
        <w:rPr>
          <w:rFonts w:ascii="Aptos" w:hAnsi="Aptos"/>
          <w:color w:val="24323D"/>
        </w:rPr>
        <w:t>le Conseil citoyen intervient pour les révisions constitutionnelles, irréversibilités importantes, urgence durable et conflits d’intérêts systémiques ;</w:t>
      </w:r>
    </w:p>
    <w:p>
      <w:pPr>
        <w:pStyle w:val="ListBullet"/>
      </w:pPr>
      <w:r>
        <w:rPr>
          <w:rFonts w:ascii="Aptos" w:hAnsi="Aptos"/>
          <w:color w:val="24323D"/>
        </w:rPr>
        <w:t>une loi ordinaire peut être renvoyée une fois par une autre source de légitimité, mais non bloquée indéfiniment ;</w:t>
      </w:r>
    </w:p>
    <w:p>
      <w:pPr>
        <w:pStyle w:val="ListBullet"/>
      </w:pPr>
      <w:r>
        <w:rPr>
          <w:rFonts w:ascii="Aptos" w:hAnsi="Aptos"/>
          <w:color w:val="24323D"/>
        </w:rPr>
        <w:t>après échec d’une conciliation à durée fixe, une règle de résolution publiée à l’avance s’applique et peut être contestée devant la justice.</w:t>
      </w:r>
    </w:p>
    <w:p>
      <w:pPr>
        <w:pStyle w:val="Heading2"/>
      </w:pPr>
      <w:r>
        <w:t>5.2 Mandats</w:t>
      </w:r>
    </w:p>
    <w:p>
      <w:pPr>
        <w:pStyle w:val="ListBullet"/>
      </w:pPr>
      <w:r>
        <w:rPr>
          <w:rFonts w:ascii="Aptos" w:hAnsi="Aptos"/>
          <w:color w:val="24323D"/>
        </w:rPr>
        <w:t>mandat court, renouvelable une seule fois consécutivement pour les exécutifs ;</w:t>
      </w:r>
    </w:p>
    <w:p>
      <w:pPr>
        <w:pStyle w:val="ListBullet"/>
      </w:pPr>
      <w:r>
        <w:rPr>
          <w:rFonts w:ascii="Aptos" w:hAnsi="Aptos"/>
          <w:color w:val="24323D"/>
        </w:rPr>
        <w:t>incompatibilité entre mandat exécutif, direction d’une grande organisation économique et contrôle d’un média dominant ;</w:t>
      </w:r>
    </w:p>
    <w:p>
      <w:pPr>
        <w:pStyle w:val="ListBullet"/>
      </w:pPr>
      <w:r>
        <w:rPr>
          <w:rFonts w:ascii="Aptos" w:hAnsi="Aptos"/>
          <w:color w:val="24323D"/>
        </w:rPr>
        <w:t>publication des intérêts, rencontres et contributions à la décision ;</w:t>
      </w:r>
    </w:p>
    <w:p>
      <w:pPr>
        <w:pStyle w:val="ListBullet"/>
      </w:pPr>
      <w:r>
        <w:rPr>
          <w:rFonts w:ascii="Aptos" w:hAnsi="Aptos"/>
          <w:color w:val="24323D"/>
        </w:rPr>
        <w:t>révocation populaire à seuil raisonnable, avec procédure contradictoire ;</w:t>
      </w:r>
    </w:p>
    <w:p>
      <w:pPr>
        <w:pStyle w:val="ListBullet"/>
      </w:pPr>
      <w:r>
        <w:rPr>
          <w:rFonts w:ascii="Aptos" w:hAnsi="Aptos"/>
          <w:color w:val="24323D"/>
        </w:rPr>
        <w:t>délai avant reconversion dans les secteurs régulés ;</w:t>
      </w:r>
    </w:p>
    <w:p>
      <w:pPr>
        <w:pStyle w:val="ListBullet"/>
      </w:pPr>
      <w:r>
        <w:rPr>
          <w:rFonts w:ascii="Aptos" w:hAnsi="Aptos"/>
          <w:color w:val="24323D"/>
        </w:rPr>
        <w:t>rotation obligatoire des fonctions de présidence et de fixation de l’ordre du jour.</w:t>
      </w:r>
    </w:p>
    <w:p>
      <w:pPr>
        <w:pStyle w:val="Heading2"/>
      </w:pPr>
      <w:r>
        <w:t>5.3 Exécutif collégial</w:t>
      </w:r>
    </w:p>
    <w:p>
      <w:r>
        <w:rPr>
          <w:rFonts w:ascii="Aptos" w:hAnsi="Aptos"/>
          <w:color w:val="24323D"/>
        </w:rPr>
        <w:t>L’exécutif est un conseil pluraliste, non une présidence souveraine. Ses portefeuilles sont séparés ; aucun membre ne contrôle simultanément budget, nomination, sécurité et information. Les actes réglementaires expirent sans confirmation législative.</w:t>
      </w:r>
    </w:p>
    <w:p>
      <w:pPr>
        <w:pStyle w:val="Heading2"/>
      </w:pPr>
      <w:r>
        <w:t>5.4 Initiative populaire</w:t>
      </w:r>
    </w:p>
    <w:p>
      <w:r>
        <w:rPr>
          <w:rFonts w:ascii="Aptos" w:hAnsi="Aptos"/>
          <w:color w:val="24323D"/>
        </w:rPr>
        <w:t>Les citoyens disposent de quatre instruments distincts : pétition avec réponse motivée, initiative législative, référendum suspensif et assemblée constituante ponctuelle. Les seuils sont proportionnés à l’effet demandé et accessibles aux personnes sans capital organisationnel.</w:t>
      </w:r>
    </w:p>
    <w:p>
      <w:pPr>
        <w:pStyle w:val="Heading2"/>
      </w:pPr>
      <w:r>
        <w:t>5.5 Opposition garantie</w:t>
      </w:r>
    </w:p>
    <w:p>
      <w:r>
        <w:rPr>
          <w:rFonts w:ascii="Aptos" w:hAnsi="Aptos"/>
          <w:color w:val="24323D"/>
        </w:rPr>
        <w:t>L’opposition reçoit des moyens publics, la présidence de certaines commissions d’enquête, un accès aux données et un droit de saisine rapide de la justice. La dissidence non violente ne peut être assimilée à une atteinte à l’ordre constitutionnel.</w:t>
      </w:r>
    </w:p>
    <w:p>
      <w:pPr>
        <w:pStyle w:val="Heading2"/>
      </w:pPr>
      <w:r>
        <w:t>5.6 Égalité temporelle</w:t>
      </w:r>
    </w:p>
    <w:p>
      <w:r>
        <w:rPr>
          <w:rFonts w:ascii="Aptos" w:hAnsi="Aptos"/>
          <w:color w:val="24323D"/>
        </w:rPr>
        <w:t>Le temps politique est une ressource distribuée. Une consultation identique en jours peut exclure les personnes qui assurent le soin, travaillent de nuit, dépendent d’une traduction ou vivent une urgence matérielle.</w:t>
      </w:r>
    </w:p>
    <w:p>
      <w:pPr>
        <w:pStyle w:val="ListBullet"/>
      </w:pPr>
      <w:r>
        <w:rPr>
          <w:rFonts w:ascii="Aptos" w:hAnsi="Aptos"/>
          <w:color w:val="24323D"/>
        </w:rPr>
        <w:t>indemnité, garde d’enfants, accessibilité et temps de préparation pour participer ;</w:t>
      </w:r>
    </w:p>
    <w:p>
      <w:pPr>
        <w:pStyle w:val="ListBullet"/>
      </w:pPr>
      <w:r>
        <w:rPr>
          <w:rFonts w:ascii="Aptos" w:hAnsi="Aptos"/>
          <w:color w:val="24323D"/>
        </w:rPr>
        <w:t>délais plus longs lorsque traduction, dispersion géographique ou contre-expertise l’exigent ;</w:t>
      </w:r>
    </w:p>
    <w:p>
      <w:pPr>
        <w:pStyle w:val="ListBullet"/>
      </w:pPr>
      <w:r>
        <w:rPr>
          <w:rFonts w:ascii="Aptos" w:hAnsi="Aptos"/>
          <w:color w:val="24323D"/>
        </w:rPr>
        <w:t>procédure accélérée seulement si le retard produit une perte supérieure et identifiable ;</w:t>
      </w:r>
    </w:p>
    <w:p>
      <w:pPr>
        <w:pStyle w:val="ListBullet"/>
      </w:pPr>
      <w:r>
        <w:rPr>
          <w:rFonts w:ascii="Aptos" w:hAnsi="Aptos"/>
          <w:color w:val="24323D"/>
        </w:rPr>
        <w:t>droit de demander une pause qui conserve effectivement les options ;</w:t>
      </w:r>
    </w:p>
    <w:p>
      <w:pPr>
        <w:pStyle w:val="ListBullet"/>
      </w:pPr>
      <w:r>
        <w:rPr>
          <w:rFonts w:ascii="Aptos" w:hAnsi="Aptos"/>
          <w:color w:val="24323D"/>
        </w:rPr>
        <w:t>files d’attente publiques et contestables pour prestations et recours ;</w:t>
      </w:r>
    </w:p>
    <w:p>
      <w:pPr>
        <w:pStyle w:val="ListBullet"/>
      </w:pPr>
      <w:r>
        <w:rPr>
          <w:rFonts w:ascii="Aptos" w:hAnsi="Aptos"/>
          <w:color w:val="24323D"/>
        </w:rPr>
        <w:t>interdiction des expirations silencieuses de droits ;</w:t>
      </w:r>
    </w:p>
    <w:p>
      <w:pPr>
        <w:pStyle w:val="ListBullet"/>
      </w:pPr>
      <w:r>
        <w:rPr>
          <w:rFonts w:ascii="Aptos" w:hAnsi="Aptos"/>
          <w:color w:val="24323D"/>
        </w:rPr>
        <w:t>mesure séparée du délai subi et de la perte qu’il provoque selon les groupes.</w:t>
      </w:r>
    </w:p>
    <w:p>
      <w:r>
        <w:rPr>
          <w:rFonts w:ascii="Aptos" w:hAnsi="Aptos"/>
          <w:color w:val="24323D"/>
        </w:rPr>
        <w:t>Celui qui fixe l’ordre du jour, la date limite ou la cadence exerce un pouvoir et doit être contrôlé comme tel.</w:t>
      </w:r>
    </w:p>
    <w:p>
      <w:pPr>
        <w:pStyle w:val="Heading1"/>
      </w:pPr>
      <w:r>
        <w:t>6. Comment une décision est prise</w:t>
      </w:r>
    </w:p>
    <w:p>
      <w:pPr>
        <w:pStyle w:val="ListNumber"/>
        <w:numPr>
          <w:ilvl w:val="0"/>
          <w:numId w:val="13"/>
        </w:numPr>
      </w:pPr>
      <w:r>
        <w:rPr>
          <w:rFonts w:ascii="Aptos" w:hAnsi="Aptos"/>
          <w:b/>
          <w:color w:val="24323D"/>
        </w:rPr>
        <w:t>Saisine</w:t>
      </w:r>
      <w:r>
        <w:rPr>
          <w:rFonts w:ascii="Aptos" w:hAnsi="Aptos"/>
          <w:color w:val="24323D"/>
        </w:rPr>
        <w:t xml:space="preserve"> : problème défini, personnes touchées identifiées, niveau proposé justifié.</w:t>
      </w:r>
    </w:p>
    <w:p>
      <w:pPr>
        <w:pStyle w:val="ListNumber"/>
        <w:numPr>
          <w:ilvl w:val="0"/>
          <w:numId w:val="13"/>
        </w:numPr>
      </w:pPr>
      <w:r>
        <w:rPr>
          <w:rFonts w:ascii="Aptos" w:hAnsi="Aptos"/>
          <w:b/>
          <w:color w:val="24323D"/>
        </w:rPr>
        <w:t>Instruction ouverte</w:t>
      </w:r>
      <w:r>
        <w:rPr>
          <w:rFonts w:ascii="Aptos" w:hAnsi="Aptos"/>
          <w:color w:val="24323D"/>
        </w:rPr>
        <w:t xml:space="preserve"> : données, alternatives, impacts distributifs et limites écologiques publiés.</w:t>
      </w:r>
    </w:p>
    <w:p>
      <w:pPr>
        <w:pStyle w:val="ListNumber"/>
        <w:numPr>
          <w:ilvl w:val="0"/>
          <w:numId w:val="13"/>
        </w:numPr>
      </w:pPr>
      <w:r>
        <w:rPr>
          <w:rFonts w:ascii="Aptos" w:hAnsi="Aptos"/>
          <w:b/>
          <w:color w:val="24323D"/>
        </w:rPr>
        <w:t>Contre-expertise financée</w:t>
      </w:r>
      <w:r>
        <w:rPr>
          <w:rFonts w:ascii="Aptos" w:hAnsi="Aptos"/>
          <w:color w:val="24323D"/>
        </w:rPr>
        <w:t xml:space="preserve"> : minorités, travailleurs et territoires affectés disposent de ressources autonomes.</w:t>
      </w:r>
    </w:p>
    <w:p>
      <w:pPr>
        <w:pStyle w:val="ListNumber"/>
        <w:numPr>
          <w:ilvl w:val="0"/>
          <w:numId w:val="13"/>
        </w:numPr>
      </w:pPr>
      <w:r>
        <w:rPr>
          <w:rFonts w:ascii="Aptos" w:hAnsi="Aptos"/>
          <w:b/>
          <w:color w:val="24323D"/>
        </w:rPr>
        <w:t>Délibération</w:t>
      </w:r>
      <w:r>
        <w:rPr>
          <w:rFonts w:ascii="Aptos" w:hAnsi="Aptos"/>
          <w:color w:val="24323D"/>
        </w:rPr>
        <w:t xml:space="preserve"> : auditions contradictoires et temps minimal incompressible hors urgence réelle.</w:t>
      </w:r>
    </w:p>
    <w:p>
      <w:pPr>
        <w:pStyle w:val="ListNumber"/>
        <w:numPr>
          <w:ilvl w:val="0"/>
          <w:numId w:val="13"/>
        </w:numPr>
      </w:pPr>
      <w:r>
        <w:rPr>
          <w:rFonts w:ascii="Aptos" w:hAnsi="Aptos"/>
          <w:b/>
          <w:color w:val="24323D"/>
        </w:rPr>
        <w:t>Décision</w:t>
      </w:r>
      <w:r>
        <w:rPr>
          <w:rFonts w:ascii="Aptos" w:hAnsi="Aptos"/>
          <w:color w:val="24323D"/>
        </w:rPr>
        <w:t xml:space="preserve"> : majorité adaptée au degré d’irréversibilité.</w:t>
      </w:r>
    </w:p>
    <w:p>
      <w:pPr>
        <w:pStyle w:val="ListNumber"/>
        <w:numPr>
          <w:ilvl w:val="0"/>
          <w:numId w:val="13"/>
        </w:numPr>
      </w:pPr>
      <w:r>
        <w:rPr>
          <w:rFonts w:ascii="Aptos" w:hAnsi="Aptos"/>
          <w:b/>
          <w:color w:val="24323D"/>
        </w:rPr>
        <w:t>Exécution distribuée</w:t>
      </w:r>
      <w:r>
        <w:rPr>
          <w:rFonts w:ascii="Aptos" w:hAnsi="Aptos"/>
          <w:color w:val="24323D"/>
        </w:rPr>
        <w:t xml:space="preserve"> : objectifs communs, variantes locales publiées.</w:t>
      </w:r>
    </w:p>
    <w:p>
      <w:pPr>
        <w:pStyle w:val="ListNumber"/>
        <w:numPr>
          <w:ilvl w:val="0"/>
          <w:numId w:val="13"/>
        </w:numPr>
      </w:pPr>
      <w:r>
        <w:rPr>
          <w:rFonts w:ascii="Aptos" w:hAnsi="Aptos"/>
          <w:b/>
          <w:color w:val="24323D"/>
        </w:rPr>
        <w:t>Observation</w:t>
      </w:r>
      <w:r>
        <w:rPr>
          <w:rFonts w:ascii="Aptos" w:hAnsi="Aptos"/>
          <w:color w:val="24323D"/>
        </w:rPr>
        <w:t xml:space="preserve"> : effets, coûts, contournements et dommages déplacés mesurés.</w:t>
      </w:r>
    </w:p>
    <w:p>
      <w:pPr>
        <w:pStyle w:val="ListNumber"/>
        <w:numPr>
          <w:ilvl w:val="0"/>
          <w:numId w:val="13"/>
        </w:numPr>
      </w:pPr>
      <w:r>
        <w:rPr>
          <w:rFonts w:ascii="Aptos" w:hAnsi="Aptos"/>
          <w:b/>
          <w:color w:val="24323D"/>
        </w:rPr>
        <w:t>Révision</w:t>
      </w:r>
      <w:r>
        <w:rPr>
          <w:rFonts w:ascii="Aptos" w:hAnsi="Aptos"/>
          <w:color w:val="24323D"/>
        </w:rPr>
        <w:t xml:space="preserve"> : maintien, modification, suspension ou extinction à date fixée.</w:t>
      </w:r>
    </w:p>
    <w:p>
      <w:r>
        <w:rPr>
          <w:rFonts w:ascii="Aptos" w:hAnsi="Aptos"/>
          <w:color w:val="24323D"/>
        </w:rPr>
        <w:t>Toute décision doit publier une fiche minimale : compétence juridique, responsable, bénéficiaires, porteurs de coûts, budget, durée, indicateurs, voies de recours, mécanisme d’arrêt et condition de réussite.</w:t>
      </w:r>
    </w:p>
    <w:p>
      <w:r>
        <w:rPr>
          <w:rFonts w:ascii="Aptos" w:hAnsi="Aptos"/>
          <w:color w:val="24323D"/>
        </w:rPr>
        <w:t>Avant l’instruction, la décision est classée comme ordinaire, distributive majeure, irréversible, coercitive, secrète ou urgente. La classification est motivée, immédiatement contestable et contrôlée par un organe différent de celui qui souhaite décider.</w:t>
      </w:r>
    </w:p>
    <w:p>
      <w:r>
        <w:rPr>
          <w:rFonts w:ascii="Aptos" w:hAnsi="Aptos"/>
          <w:color w:val="24323D"/>
        </w:rPr>
        <w:t>En cas de conflit de compétence :</w:t>
      </w:r>
    </w:p>
    <w:p>
      <w:pPr>
        <w:pStyle w:val="ListNumber"/>
        <w:numPr>
          <w:ilvl w:val="0"/>
          <w:numId w:val="14"/>
        </w:numPr>
      </w:pPr>
      <w:r>
        <w:rPr>
          <w:rFonts w:ascii="Aptos" w:hAnsi="Aptos"/>
          <w:color w:val="24323D"/>
        </w:rPr>
        <w:t>médiation à durée fixe ;</w:t>
      </w:r>
    </w:p>
    <w:p>
      <w:pPr>
        <w:pStyle w:val="ListNumber"/>
        <w:numPr>
          <w:ilvl w:val="0"/>
          <w:numId w:val="14"/>
        </w:numPr>
      </w:pPr>
      <w:r>
        <w:rPr>
          <w:rFonts w:ascii="Aptos" w:hAnsi="Aptos"/>
          <w:color w:val="24323D"/>
        </w:rPr>
        <w:t>mesure conservatoire prise par le niveau capable d’empêcher le dommage imminent ;</w:t>
      </w:r>
    </w:p>
    <w:p>
      <w:pPr>
        <w:pStyle w:val="ListNumber"/>
        <w:numPr>
          <w:ilvl w:val="0"/>
          <w:numId w:val="14"/>
        </w:numPr>
      </w:pPr>
      <w:r>
        <w:rPr>
          <w:rFonts w:ascii="Aptos" w:hAnsi="Aptos"/>
          <w:color w:val="24323D"/>
        </w:rPr>
        <w:t>examen juridictionnel rapide ;</w:t>
      </w:r>
    </w:p>
    <w:p>
      <w:pPr>
        <w:pStyle w:val="ListNumber"/>
        <w:numPr>
          <w:ilvl w:val="0"/>
          <w:numId w:val="14"/>
        </w:numPr>
      </w:pPr>
      <w:r>
        <w:rPr>
          <w:rFonts w:ascii="Aptos" w:hAnsi="Aptos"/>
          <w:color w:val="24323D"/>
        </w:rPr>
        <w:t>réparation si le niveau provisoire a excédé sa compétence.</w:t>
      </w:r>
    </w:p>
    <w:p>
      <w:r>
        <w:rPr>
          <w:rFonts w:ascii="Aptos" w:hAnsi="Aptos"/>
          <w:color w:val="24323D"/>
        </w:rPr>
        <w:t>Le silence d’une institution à l’échéance déclenche une règle publique préétablie. Il ne confère jamais un pouvoir discrétionnaire au secrétariat. Un recours suspend la partie irréversible ou gravement attentatoire, pas automatiquement l’ensemble d’un service vital.</w:t>
      </w:r>
    </w:p>
    <w:p>
      <w:pPr>
        <w:pStyle w:val="Heading1"/>
      </w:pPr>
      <w:r>
        <w:t>7. Constitution économique</w:t>
      </w:r>
    </w:p>
    <w:p>
      <w:pPr>
        <w:pStyle w:val="Heading2"/>
      </w:pPr>
      <w:r>
        <w:t>7.1 Quatre sphères</w:t>
      </w:r>
    </w:p>
    <w:p>
      <w:r>
        <w:rPr>
          <w:rFonts w:ascii="Aptos" w:hAnsi="Aptos"/>
          <w:b/>
          <w:color w:val="24323D"/>
        </w:rPr>
        <w:t>Sphère garantie</w:t>
      </w:r>
      <w:r>
        <w:rPr>
          <w:rFonts w:ascii="Aptos" w:hAnsi="Aptos"/>
          <w:color w:val="24323D"/>
        </w:rPr>
        <w:t xml:space="preserve"> : besoins fondamentaux fournis hors marché ou à prix social. Leur accès n’est pas conditionné à l’emploi.</w:t>
      </w:r>
    </w:p>
    <w:p>
      <w:r>
        <w:rPr>
          <w:rFonts w:ascii="Aptos" w:hAnsi="Aptos"/>
          <w:b/>
          <w:color w:val="24323D"/>
        </w:rPr>
        <w:t>Sphère des communs et services publics</w:t>
      </w:r>
      <w:r>
        <w:rPr>
          <w:rFonts w:ascii="Aptos" w:hAnsi="Aptos"/>
          <w:color w:val="24323D"/>
        </w:rPr>
        <w:t xml:space="preserve"> : ressources naturelles, infrastructures essentielles, crédit de base, données publiques, santé, éducation et grands réseaux.</w:t>
      </w:r>
    </w:p>
    <w:p>
      <w:r>
        <w:rPr>
          <w:rFonts w:ascii="Aptos" w:hAnsi="Aptos"/>
          <w:b/>
          <w:color w:val="24323D"/>
        </w:rPr>
        <w:t>Sphère coopérative et associative</w:t>
      </w:r>
      <w:r>
        <w:rPr>
          <w:rFonts w:ascii="Aptos" w:hAnsi="Aptos"/>
          <w:color w:val="24323D"/>
        </w:rPr>
        <w:t xml:space="preserve"> : forme normale de l’entreprise moyenne et grande. Les travailleurs disposent de la majorité des droits de gouvernance, les usagers et territoires ayant une voix lorsque les externalités sont fortes.</w:t>
      </w:r>
    </w:p>
    <w:p>
      <w:r>
        <w:rPr>
          <w:rFonts w:ascii="Aptos" w:hAnsi="Aptos"/>
          <w:b/>
          <w:color w:val="24323D"/>
        </w:rPr>
        <w:t>Sphère marchande bornée</w:t>
      </w:r>
      <w:r>
        <w:rPr>
          <w:rFonts w:ascii="Aptos" w:hAnsi="Aptos"/>
          <w:color w:val="24323D"/>
        </w:rPr>
        <w:t xml:space="preserve"> : activités non essentielles ouvertes à l’entreprise individuelle ou privée, sous règles sociales, écologiques, antimonopolistiques et fiscales. L’accumulation n’y confère aucun droit politique supplémentaire.</w:t>
      </w:r>
    </w:p>
    <w:p>
      <w:pPr>
        <w:pStyle w:val="Heading2"/>
      </w:pPr>
      <w:r>
        <w:t>7.2 Propriété et taille</w:t>
      </w:r>
    </w:p>
    <w:p>
      <w:pPr>
        <w:pStyle w:val="ListBullet"/>
      </w:pPr>
      <w:r>
        <w:rPr>
          <w:rFonts w:ascii="Aptos" w:hAnsi="Aptos"/>
          <w:color w:val="24323D"/>
        </w:rPr>
        <w:t>propriété personnelle pleinement protégée ;</w:t>
      </w:r>
    </w:p>
    <w:p>
      <w:pPr>
        <w:pStyle w:val="ListBullet"/>
      </w:pPr>
      <w:r>
        <w:rPr>
          <w:rFonts w:ascii="Aptos" w:hAnsi="Aptos"/>
          <w:color w:val="24323D"/>
        </w:rPr>
        <w:t>usage du logement protégé, rente foncière et vacance spéculative limitées ;</w:t>
      </w:r>
    </w:p>
    <w:p>
      <w:pPr>
        <w:pStyle w:val="ListBullet"/>
      </w:pPr>
      <w:r>
        <w:rPr>
          <w:rFonts w:ascii="Aptos" w:hAnsi="Aptos"/>
          <w:color w:val="24323D"/>
        </w:rPr>
        <w:t>héritage personnel possible dans une franchise, concentration dynastique empêchée ;</w:t>
      </w:r>
    </w:p>
    <w:p>
      <w:pPr>
        <w:pStyle w:val="ListBullet"/>
      </w:pPr>
      <w:r>
        <w:rPr>
          <w:rFonts w:ascii="Aptos" w:hAnsi="Aptos"/>
          <w:color w:val="24323D"/>
        </w:rPr>
        <w:t>seuils de socialisation graduelle lorsque taille, dépendance publique, monopole ou risque systémique augmentent ;</w:t>
      </w:r>
    </w:p>
    <w:p>
      <w:pPr>
        <w:pStyle w:val="ListBullet"/>
      </w:pPr>
      <w:r>
        <w:rPr>
          <w:rFonts w:ascii="Aptos" w:hAnsi="Aptos"/>
          <w:color w:val="24323D"/>
        </w:rPr>
        <w:t>ressources naturelles inaliénables, avec droits d’usage révocables ;</w:t>
      </w:r>
    </w:p>
    <w:p>
      <w:pPr>
        <w:pStyle w:val="ListBullet"/>
      </w:pPr>
      <w:r>
        <w:rPr>
          <w:rFonts w:ascii="Aptos" w:hAnsi="Aptos"/>
          <w:color w:val="24323D"/>
        </w:rPr>
        <w:t>rachat public ou transfert coopératif indemnisé selon la légitimité de l’acquisition, l’amortissement et les dommages passés.</w:t>
      </w:r>
    </w:p>
    <w:p>
      <w:pPr>
        <w:pStyle w:val="Heading2"/>
      </w:pPr>
      <w:r>
        <w:t>7.3 Planification démocratique</w:t>
      </w:r>
    </w:p>
    <w:p>
      <w:r>
        <w:rPr>
          <w:rFonts w:ascii="Aptos" w:hAnsi="Aptos"/>
          <w:color w:val="24323D"/>
        </w:rPr>
        <w:t xml:space="preserve">La planification porte d’abord sur les contraintes et capacités structurantes, non sur chaque bien : budget carbone, matières critiques, énergie, sols, eau, logements, soins, alimentation, transport et infrastructures. Elle fonctionne par </w:t>
      </w:r>
      <w:r>
        <w:rPr>
          <w:rFonts w:ascii="Aptos" w:hAnsi="Aptos"/>
          <w:b/>
          <w:color w:val="24323D"/>
        </w:rPr>
        <w:t>corridors</w:t>
      </w:r>
      <w:r>
        <w:rPr>
          <w:rFonts w:ascii="Aptos" w:hAnsi="Aptos"/>
          <w:color w:val="24323D"/>
        </w:rPr>
        <w:t xml:space="preserve"> : un plancher social opposable, un plafond écologique contraignant et, entre les deux, plusieurs mécanismes de coordination comparables.</w:t>
      </w:r>
    </w:p>
    <w:p>
      <w:r>
        <w:rPr>
          <w:rFonts w:ascii="Aptos" w:hAnsi="Aptos"/>
          <w:color w:val="24323D"/>
        </w:rPr>
        <w:t>Le cycle de planification, révisé par bilans glissants, articule :</w:t>
      </w:r>
    </w:p>
    <w:p>
      <w:pPr>
        <w:pStyle w:val="ListNumber"/>
        <w:numPr>
          <w:ilvl w:val="0"/>
          <w:numId w:val="15"/>
        </w:numPr>
      </w:pPr>
      <w:r>
        <w:rPr>
          <w:rFonts w:ascii="Aptos" w:hAnsi="Aptos"/>
          <w:color w:val="24323D"/>
        </w:rPr>
        <w:t>inventaire physique transparent, complété par échantillons indépendants ;</w:t>
      </w:r>
    </w:p>
    <w:p>
      <w:pPr>
        <w:pStyle w:val="ListNumber"/>
        <w:numPr>
          <w:ilvl w:val="0"/>
          <w:numId w:val="15"/>
        </w:numPr>
      </w:pPr>
      <w:r>
        <w:rPr>
          <w:rFonts w:ascii="Aptos" w:hAnsi="Aptos"/>
          <w:color w:val="24323D"/>
        </w:rPr>
        <w:t>scénarios scientifiques pluriels ;</w:t>
      </w:r>
    </w:p>
    <w:p>
      <w:pPr>
        <w:pStyle w:val="ListNumber"/>
        <w:numPr>
          <w:ilvl w:val="0"/>
          <w:numId w:val="15"/>
        </w:numPr>
      </w:pPr>
      <w:r>
        <w:rPr>
          <w:rFonts w:ascii="Aptos" w:hAnsi="Aptos"/>
          <w:color w:val="24323D"/>
        </w:rPr>
        <w:t>choix démocratique des priorités ;</w:t>
      </w:r>
    </w:p>
    <w:p>
      <w:pPr>
        <w:pStyle w:val="ListNumber"/>
        <w:numPr>
          <w:ilvl w:val="0"/>
          <w:numId w:val="15"/>
        </w:numPr>
      </w:pPr>
      <w:r>
        <w:rPr>
          <w:rFonts w:ascii="Aptos" w:hAnsi="Aptos"/>
          <w:color w:val="24323D"/>
        </w:rPr>
        <w:t>réserves, redondances et marges de sécurité explicitement financées ;</w:t>
      </w:r>
    </w:p>
    <w:p>
      <w:pPr>
        <w:pStyle w:val="ListNumber"/>
        <w:numPr>
          <w:ilvl w:val="0"/>
          <w:numId w:val="15"/>
        </w:numPr>
      </w:pPr>
      <w:r>
        <w:rPr>
          <w:rFonts w:ascii="Aptos" w:hAnsi="Aptos"/>
          <w:color w:val="24323D"/>
        </w:rPr>
        <w:t>contrats de production et d’investissement ;</w:t>
      </w:r>
    </w:p>
    <w:p>
      <w:pPr>
        <w:pStyle w:val="ListNumber"/>
        <w:numPr>
          <w:ilvl w:val="0"/>
          <w:numId w:val="15"/>
        </w:numPr>
      </w:pPr>
      <w:r>
        <w:rPr>
          <w:rFonts w:ascii="Aptos" w:hAnsi="Aptos"/>
          <w:color w:val="24323D"/>
        </w:rPr>
        <w:t>combinaison sectorielle de contrats négociés, allocations publiques, prix bornés, enchères ouvertes de capacité et initiatives coopératives ;</w:t>
      </w:r>
    </w:p>
    <w:p>
      <w:pPr>
        <w:pStyle w:val="ListNumber"/>
        <w:numPr>
          <w:ilvl w:val="0"/>
          <w:numId w:val="15"/>
        </w:numPr>
      </w:pPr>
      <w:r>
        <w:rPr>
          <w:rFonts w:ascii="Aptos" w:hAnsi="Aptos"/>
          <w:color w:val="24323D"/>
        </w:rPr>
        <w:t>bilans glissants et marges d’expérimentation locale ;</w:t>
      </w:r>
    </w:p>
    <w:p>
      <w:pPr>
        <w:pStyle w:val="ListNumber"/>
        <w:numPr>
          <w:ilvl w:val="0"/>
          <w:numId w:val="15"/>
        </w:numPr>
      </w:pPr>
      <w:r>
        <w:rPr>
          <w:rFonts w:ascii="Aptos" w:hAnsi="Aptos"/>
          <w:color w:val="24323D"/>
        </w:rPr>
        <w:t>révision après observation des pénuries, attentes, substitutions forcées, rentes et travail compensatoire.</w:t>
      </w:r>
    </w:p>
    <w:p>
      <w:r>
        <w:rPr>
          <w:rFonts w:ascii="Aptos" w:hAnsi="Aptos"/>
          <w:color w:val="24323D"/>
        </w:rPr>
        <w:t>Les prix subsistent comme signaux locaux mais ne décident ni des droits fondamentaux ni des plafonds écologiques. Ils sont complétés par des comptes physiques et des critères d’accès. Une unité peut expérimenter une autre méthode d’allocation si elle conserve le plancher, le plafond, la traçabilité et le recours.</w:t>
      </w:r>
    </w:p>
    <w:p>
      <w:r>
        <w:rPr>
          <w:rFonts w:ascii="Aptos" w:hAnsi="Aptos"/>
          <w:color w:val="24323D"/>
        </w:rPr>
        <w:t>Les acteurs évalués ne contrôlent jamais seuls les capteurs ni la qualification de leurs propres données. Des audits aléatoires et des observations hors indicateurs-cibles recherchent reclassement opportuniste, stocks cachés, impacts délocalisés et conformité purement documentaire.</w:t>
      </w:r>
    </w:p>
    <w:p>
      <w:r>
        <w:rPr>
          <w:rFonts w:ascii="Aptos" w:hAnsi="Aptos"/>
          <w:color w:val="24323D"/>
        </w:rPr>
        <w:t xml:space="preserve">Le corridor fonctionne à </w:t>
      </w:r>
      <w:r>
        <w:rPr>
          <w:rFonts w:ascii="Aptos" w:hAnsi="Aptos"/>
          <w:b/>
          <w:color w:val="24323D"/>
        </w:rPr>
        <w:t>deux régimes</w:t>
      </w:r>
      <w:r>
        <w:rPr>
          <w:rFonts w:ascii="Aptos" w:hAnsi="Aptos"/>
          <w:color w:val="24323D"/>
        </w:rPr>
        <w:t>. En régime ordinaire, le plancher, le plafond, les comptes physiques et le recours restent permanents, mais l’allocation utilise des règles simples et stables. Les réserves, contre-expertises et capacités d’audit sont entretenues en arrière-plan. Le régime renforcé s’active sur des signaux publics préspécifiés : volatilité matérielle, pénurie, concentration d’un fournisseur, divergence entre flux physiques et déclarations, reclassements répétés ou externalisation probable. Son extinction est automatique après retour durable sous les seuils. Cette proportionnalité évite de payer en permanence la charge administrative maximale sans transformer l’activation en choix discrétionnaire d’un centre.</w:t>
      </w:r>
    </w:p>
    <w:p>
      <w:pPr>
        <w:pStyle w:val="Heading2"/>
      </w:pPr>
      <w:r>
        <w:t>7.4 Travail</w:t>
      </w:r>
    </w:p>
    <w:p>
      <w:pPr>
        <w:pStyle w:val="ListBullet"/>
      </w:pPr>
      <w:r>
        <w:rPr>
          <w:rFonts w:ascii="Aptos" w:hAnsi="Aptos"/>
          <w:color w:val="24323D"/>
        </w:rPr>
        <w:t>garantie d’emploi socialement utile ou revenu social inconditionnel suffisant ;</w:t>
      </w:r>
    </w:p>
    <w:p>
      <w:pPr>
        <w:pStyle w:val="ListBullet"/>
      </w:pPr>
      <w:r>
        <w:rPr>
          <w:rFonts w:ascii="Aptos" w:hAnsi="Aptos"/>
          <w:color w:val="24323D"/>
        </w:rPr>
        <w:t>réduction progressive du temps de travail ;</w:t>
      </w:r>
    </w:p>
    <w:p>
      <w:pPr>
        <w:pStyle w:val="ListBullet"/>
      </w:pPr>
      <w:r>
        <w:rPr>
          <w:rFonts w:ascii="Aptos" w:hAnsi="Aptos"/>
          <w:color w:val="24323D"/>
        </w:rPr>
        <w:t>égalité de droits entre travail rémunéré, soin, formation et participation civique ;</w:t>
      </w:r>
    </w:p>
    <w:p>
      <w:pPr>
        <w:pStyle w:val="ListBullet"/>
      </w:pPr>
      <w:r>
        <w:rPr>
          <w:rFonts w:ascii="Aptos" w:hAnsi="Aptos"/>
          <w:color w:val="24323D"/>
        </w:rPr>
        <w:t>codécision des travailleurs sur l’organisation, la technologie et les fermetures ;</w:t>
      </w:r>
    </w:p>
    <w:p>
      <w:pPr>
        <w:pStyle w:val="ListBullet"/>
      </w:pPr>
      <w:r>
        <w:rPr>
          <w:rFonts w:ascii="Aptos" w:hAnsi="Aptos"/>
          <w:color w:val="24323D"/>
        </w:rPr>
        <w:t>fonds de conversion assurant revenu, formation et mobilité lors de l’arrêt d’une activité nuisible ;</w:t>
      </w:r>
    </w:p>
    <w:p>
      <w:pPr>
        <w:pStyle w:val="ListBullet"/>
      </w:pPr>
      <w:r>
        <w:rPr>
          <w:rFonts w:ascii="Aptos" w:hAnsi="Aptos"/>
          <w:color w:val="24323D"/>
        </w:rPr>
        <w:t>droit de refus face à un danger grave, avec expertise indépendante.</w:t>
      </w:r>
    </w:p>
    <w:p>
      <w:pPr>
        <w:pStyle w:val="Heading2"/>
      </w:pPr>
      <w:r>
        <w:t>7.5 Finance et monnaie</w:t>
      </w:r>
    </w:p>
    <w:p>
      <w:r>
        <w:rPr>
          <w:rFonts w:ascii="Aptos" w:hAnsi="Aptos"/>
          <w:color w:val="24323D"/>
        </w:rPr>
        <w:t>Le crédit essentiel devient une infrastructure publique pluraliste : banques locales coopératives, banques régionales d’investissement et chambre mondiale de compensation.</w:t>
      </w:r>
    </w:p>
    <w:p>
      <w:pPr>
        <w:pStyle w:val="ListBullet"/>
      </w:pPr>
      <w:r>
        <w:rPr>
          <w:rFonts w:ascii="Aptos" w:hAnsi="Aptos"/>
          <w:color w:val="24323D"/>
        </w:rPr>
        <w:t>création monétaire orientée vers les capacités écologiques et sociales votées ;</w:t>
      </w:r>
    </w:p>
    <w:p>
      <w:pPr>
        <w:pStyle w:val="ListBullet"/>
      </w:pPr>
      <w:r>
        <w:rPr>
          <w:rFonts w:ascii="Aptos" w:hAnsi="Aptos"/>
          <w:color w:val="24323D"/>
        </w:rPr>
        <w:t>séparation des paiements, de l’épargne sûre et de l’investissement risqué ;</w:t>
      </w:r>
    </w:p>
    <w:p>
      <w:pPr>
        <w:pStyle w:val="ListBullet"/>
      </w:pPr>
      <w:r>
        <w:rPr>
          <w:rFonts w:ascii="Aptos" w:hAnsi="Aptos"/>
          <w:color w:val="24323D"/>
        </w:rPr>
        <w:t>interdiction ou forte limitation des instruments purement extractifs ;</w:t>
      </w:r>
    </w:p>
    <w:p>
      <w:pPr>
        <w:pStyle w:val="ListBullet"/>
      </w:pPr>
      <w:r>
        <w:rPr>
          <w:rFonts w:ascii="Aptos" w:hAnsi="Aptos"/>
          <w:color w:val="24323D"/>
        </w:rPr>
        <w:t>registre public des bénéficiaires effectifs ;</w:t>
      </w:r>
    </w:p>
    <w:p>
      <w:pPr>
        <w:pStyle w:val="ListBullet"/>
      </w:pPr>
      <w:r>
        <w:rPr>
          <w:rFonts w:ascii="Aptos" w:hAnsi="Aptos"/>
          <w:color w:val="24323D"/>
        </w:rPr>
        <w:t>contrôle temporaire des capitaux en cas de fuite spéculative ;</w:t>
      </w:r>
    </w:p>
    <w:p>
      <w:pPr>
        <w:pStyle w:val="ListBullet"/>
      </w:pPr>
      <w:r>
        <w:rPr>
          <w:rFonts w:ascii="Aptos" w:hAnsi="Aptos"/>
          <w:color w:val="24323D"/>
        </w:rPr>
        <w:t>mécanisme ordonné de restructuration des dettes publiques insoutenables ;</w:t>
      </w:r>
    </w:p>
    <w:p>
      <w:pPr>
        <w:pStyle w:val="ListBullet"/>
      </w:pPr>
      <w:r>
        <w:rPr>
          <w:rFonts w:ascii="Aptos" w:hAnsi="Aptos"/>
          <w:color w:val="24323D"/>
        </w:rPr>
        <w:t>unité de compte internationale pour équilibrer les échanges sans imposer une monnaie mondiale unique.</w:t>
      </w:r>
    </w:p>
    <w:p>
      <w:pPr>
        <w:pStyle w:val="Heading1"/>
      </w:pPr>
      <w:r>
        <w:t>8. Métabolisme écologique</w:t>
      </w:r>
    </w:p>
    <w:p>
      <w:pPr>
        <w:pStyle w:val="Heading2"/>
      </w:pPr>
      <w:r>
        <w:t>8.1 Budgets planétaires</w:t>
      </w:r>
    </w:p>
    <w:p>
      <w:r>
        <w:rPr>
          <w:rFonts w:ascii="Aptos" w:hAnsi="Aptos"/>
          <w:color w:val="24323D"/>
        </w:rPr>
        <w:t>Une Autorité des limites terrestres établit des fourchettes scientifiques publiques. La décision politique choisit, dans ces fourchettes, les marges de sécurité et la répartition. Les scientifiques n’exercent donc ni souveraineté directe ni simple fonction décorative.</w:t>
      </w:r>
    </w:p>
    <w:p>
      <w:r>
        <w:rPr>
          <w:rFonts w:ascii="Aptos" w:hAnsi="Aptos"/>
          <w:color w:val="24323D"/>
        </w:rPr>
        <w:t>La répartition combine :</w:t>
      </w:r>
    </w:p>
    <w:p>
      <w:pPr>
        <w:pStyle w:val="ListBullet"/>
      </w:pPr>
      <w:r>
        <w:rPr>
          <w:rFonts w:ascii="Aptos" w:hAnsi="Aptos"/>
          <w:color w:val="24323D"/>
        </w:rPr>
        <w:t>égalité d’usage par personne ;</w:t>
      </w:r>
    </w:p>
    <w:p>
      <w:pPr>
        <w:pStyle w:val="ListBullet"/>
      </w:pPr>
      <w:r>
        <w:rPr>
          <w:rFonts w:ascii="Aptos" w:hAnsi="Aptos"/>
          <w:color w:val="24323D"/>
        </w:rPr>
        <w:t>besoins fondamentaux et vulnérabilité ;</w:t>
      </w:r>
    </w:p>
    <w:p>
      <w:pPr>
        <w:pStyle w:val="ListBullet"/>
      </w:pPr>
      <w:r>
        <w:rPr>
          <w:rFonts w:ascii="Aptos" w:hAnsi="Aptos"/>
          <w:color w:val="24323D"/>
        </w:rPr>
        <w:t>responsabilité et consommation historiques ;</w:t>
      </w:r>
    </w:p>
    <w:p>
      <w:pPr>
        <w:pStyle w:val="ListBullet"/>
      </w:pPr>
      <w:r>
        <w:rPr>
          <w:rFonts w:ascii="Aptos" w:hAnsi="Aptos"/>
          <w:color w:val="24323D"/>
        </w:rPr>
        <w:t>capacité technique et financière d’agir ;</w:t>
      </w:r>
    </w:p>
    <w:p>
      <w:pPr>
        <w:pStyle w:val="ListBullet"/>
      </w:pPr>
      <w:r>
        <w:rPr>
          <w:rFonts w:ascii="Aptos" w:hAnsi="Aptos"/>
          <w:color w:val="24323D"/>
        </w:rPr>
        <w:t>droit au développement matériel des régions sous-équipées ;</w:t>
      </w:r>
    </w:p>
    <w:p>
      <w:pPr>
        <w:pStyle w:val="ListBullet"/>
      </w:pPr>
      <w:r>
        <w:rPr>
          <w:rFonts w:ascii="Aptos" w:hAnsi="Aptos"/>
          <w:color w:val="24323D"/>
        </w:rPr>
        <w:t>protection des peuples et territoires gardiens d’écosystèmes.</w:t>
      </w:r>
    </w:p>
    <w:p>
      <w:pPr>
        <w:pStyle w:val="Heading2"/>
      </w:pPr>
      <w:r>
        <w:t>8.2 Comptabilité matière-énergie</w:t>
      </w:r>
    </w:p>
    <w:p>
      <w:r>
        <w:rPr>
          <w:rFonts w:ascii="Aptos" w:hAnsi="Aptos"/>
          <w:color w:val="24323D"/>
        </w:rPr>
        <w:t>Chaque territoire publie les flux extraits, importés, transformés, consommés, réparés, recyclés et rejetés. Les impacts incorporés aux importations comptent dans son bilan pour éviter l’écologie par délocalisation.</w:t>
      </w:r>
    </w:p>
    <w:p>
      <w:pPr>
        <w:pStyle w:val="Heading2"/>
      </w:pPr>
      <w:r>
        <w:t>8.3 Allocation sous rareté</w:t>
      </w:r>
    </w:p>
    <w:p>
      <w:r>
        <w:rPr>
          <w:rFonts w:ascii="Aptos" w:hAnsi="Aptos"/>
          <w:color w:val="24323D"/>
        </w:rPr>
        <w:t>L’ordre de priorité est constitutionnel : besoins vitaux, maintien des écosystèmes, infrastructures de transition, usages collectifs, puis usages discrétionnaires. Les quotas personnels ne sont employés que si des normes de production et une allocation collective ne suffisent pas ; ils sont transférables seulement sous conditions empêchant leur concentration.</w:t>
      </w:r>
    </w:p>
    <w:p>
      <w:pPr>
        <w:pStyle w:val="Heading2"/>
      </w:pPr>
      <w:r>
        <w:t>8.4 Représentation du vivant</w:t>
      </w:r>
    </w:p>
    <w:p>
      <w:r>
        <w:rPr>
          <w:rFonts w:ascii="Aptos" w:hAnsi="Aptos"/>
          <w:color w:val="24323D"/>
        </w:rPr>
        <w:t>Les écosystèmes n’ayant pas de voix directe reçoivent des gardiens juridiquement responsables, nommés par plusieurs voies et révocables. Leur action est fondée sur des obligations écologiques justiciables, non sur la prétention à « parler au nom de la nature » sans contrôle.</w:t>
      </w:r>
    </w:p>
    <w:p>
      <w:pPr>
        <w:pStyle w:val="Heading1"/>
      </w:pPr>
      <w:r>
        <w:t>9. Justice globale et réparation</w:t>
      </w:r>
    </w:p>
    <w:p>
      <w:pPr>
        <w:pStyle w:val="Heading2"/>
      </w:pPr>
      <w:r>
        <w:t>9.1 Fonds mondial de convergence</w:t>
      </w:r>
    </w:p>
    <w:p>
      <w:r>
        <w:rPr>
          <w:rFonts w:ascii="Aptos" w:hAnsi="Aptos"/>
          <w:color w:val="24323D"/>
        </w:rPr>
        <w:t>Il finance l’accès universel aux infrastructures essentielles et la transition des régions exposées. Ses recettes proviennent notamment des patrimoines extrêmes, transactions financières, rentes extractives, transports internationaux, profits déplacés et émissions historiques encore attribuables.</w:t>
      </w:r>
    </w:p>
    <w:p>
      <w:pPr>
        <w:pStyle w:val="Heading2"/>
      </w:pPr>
      <w:r>
        <w:t>9.2 Dette écologique</w:t>
      </w:r>
    </w:p>
    <w:p>
      <w:r>
        <w:rPr>
          <w:rFonts w:ascii="Aptos" w:hAnsi="Aptos"/>
          <w:color w:val="24323D"/>
        </w:rPr>
        <w:t>Elle n’est ni une culpabilité héréditaire indifférenciée ni une dette infinie. Elle est allouée selon quatre attaches : bénéfices reçus, capacité actuelle de réparer, contribution aux mécanismes dommageables et pertes effectivement portées.</w:t>
      </w:r>
    </w:p>
    <w:p>
      <w:r>
        <w:rPr>
          <w:rFonts w:ascii="Aptos" w:hAnsi="Aptos"/>
          <w:color w:val="24323D"/>
        </w:rPr>
        <w:t>La réparation peut être financière, technologique, territoriale, sanitaire, documentaire, institutionnelle ou relationnelle. Elle comporte une condition de clôture, un recours et la reconnaissance de ce qui ne peut être restauré.</w:t>
      </w:r>
    </w:p>
    <w:p>
      <w:pPr>
        <w:pStyle w:val="Heading2"/>
      </w:pPr>
      <w:r>
        <w:t>9.3 Mobilité et appartenance</w:t>
      </w:r>
    </w:p>
    <w:p>
      <w:r>
        <w:rPr>
          <w:rFonts w:ascii="Aptos" w:hAnsi="Aptos"/>
          <w:color w:val="24323D"/>
        </w:rPr>
        <w:t>Toute personne possède des droits fondamentaux partout. La résidence factuelle crée progressivement les droits politiques locaux selon une règle commune que les autorités locales ne peuvent durcir. La citoyenneté multiple est admise. L’asile écologique existe. Aucune communauté ne peut défendre son autonomie par l’exclusion ethnique, religieuse ou patrimoniale.</w:t>
      </w:r>
    </w:p>
    <w:p>
      <w:r>
        <w:rPr>
          <w:rFonts w:ascii="Aptos" w:hAnsi="Aptos"/>
          <w:color w:val="24323D"/>
        </w:rPr>
        <w:t>Une personne menacée par son autorité locale peut saisir confidentiellement un défenseur situé hors du territoire et obtenir automatiquement assistance juridique, revenu, logement de protection et relocalisation temporaire. Elle conserve aussi le droit de rester : les juridictions supérieures peuvent protéger une personne, suspendre un responsable ou administrer provisoirement un service précis sans placer toute la communauté sous tutelle. Si la sortie fut contrainte, droit au retour et restauration des accès sont examinés séparément d’une simple indemnisation.</w:t>
      </w:r>
    </w:p>
    <w:p>
      <w:r>
        <w:rPr>
          <w:rFonts w:ascii="Aptos" w:hAnsi="Aptos"/>
          <w:color w:val="24323D"/>
        </w:rPr>
        <w:t>Les communautés linguistiques, culturelles et religieuses peuvent exercer une autonomie non territoriale sur leurs institutions volontaires, toujours sous réserve des droits individuels et du droit de ne pas y participer.</w:t>
      </w:r>
    </w:p>
    <w:p>
      <w:pPr>
        <w:pStyle w:val="Heading1"/>
      </w:pPr>
      <w:r>
        <w:t>10. Information, langues, connaissance et numérique</w:t>
      </w:r>
    </w:p>
    <w:p>
      <w:pPr>
        <w:pStyle w:val="Heading2"/>
      </w:pPr>
      <w:r>
        <w:t>10.1 Infrastructure de connaissance</w:t>
      </w:r>
    </w:p>
    <w:p>
      <w:pPr>
        <w:pStyle w:val="ListBullet"/>
      </w:pPr>
      <w:r>
        <w:rPr>
          <w:rFonts w:ascii="Aptos" w:hAnsi="Aptos"/>
          <w:color w:val="24323D"/>
        </w:rPr>
        <w:t>résultats de recherche financés publiquement placés en commun ;</w:t>
      </w:r>
    </w:p>
    <w:p>
      <w:pPr>
        <w:pStyle w:val="ListBullet"/>
      </w:pPr>
      <w:r>
        <w:rPr>
          <w:rFonts w:ascii="Aptos" w:hAnsi="Aptos"/>
          <w:color w:val="24323D"/>
        </w:rPr>
        <w:t>logiciels et standards des infrastructures publiques ouverts et auditables ;</w:t>
      </w:r>
    </w:p>
    <w:p>
      <w:pPr>
        <w:pStyle w:val="ListBullet"/>
      </w:pPr>
      <w:r>
        <w:rPr>
          <w:rFonts w:ascii="Aptos" w:hAnsi="Aptos"/>
          <w:color w:val="24323D"/>
        </w:rPr>
        <w:t>protection forte des données personnelles et interdiction de la notation civique générale ;</w:t>
      </w:r>
    </w:p>
    <w:p>
      <w:pPr>
        <w:pStyle w:val="ListBullet"/>
      </w:pPr>
      <w:r>
        <w:rPr>
          <w:rFonts w:ascii="Aptos" w:hAnsi="Aptos"/>
          <w:color w:val="24323D"/>
        </w:rPr>
        <w:t>portabilité des identités et services pour éviter la captivité numérique ;</w:t>
      </w:r>
    </w:p>
    <w:p>
      <w:pPr>
        <w:pStyle w:val="ListBullet"/>
      </w:pPr>
      <w:r>
        <w:rPr>
          <w:rFonts w:ascii="Aptos" w:hAnsi="Aptos"/>
          <w:color w:val="24323D"/>
        </w:rPr>
        <w:t>médias publics gouvernés par des collèges indépendants de l’exécutif ;</w:t>
      </w:r>
    </w:p>
    <w:p>
      <w:pPr>
        <w:pStyle w:val="ListBullet"/>
      </w:pPr>
      <w:r>
        <w:rPr>
          <w:rFonts w:ascii="Aptos" w:hAnsi="Aptos"/>
          <w:color w:val="24323D"/>
        </w:rPr>
        <w:t>fonds pluraliste pour médias coopératifs, attribué selon des règles transparentes ;</w:t>
      </w:r>
    </w:p>
    <w:p>
      <w:pPr>
        <w:pStyle w:val="ListBullet"/>
      </w:pPr>
      <w:r>
        <w:rPr>
          <w:rFonts w:ascii="Aptos" w:hAnsi="Aptos"/>
          <w:color w:val="24323D"/>
        </w:rPr>
        <w:t>plafonds de concentration séparés pour propriété, audience, infrastructure de diffusion et publicité ;</w:t>
      </w:r>
    </w:p>
    <w:p>
      <w:pPr>
        <w:pStyle w:val="ListBullet"/>
      </w:pPr>
      <w:r>
        <w:rPr>
          <w:rFonts w:ascii="Aptos" w:hAnsi="Aptos"/>
          <w:color w:val="24323D"/>
        </w:rPr>
        <w:t>transparence des systèmes de recommandation dominants et choix réel d’autres classements ;</w:t>
      </w:r>
    </w:p>
    <w:p>
      <w:pPr>
        <w:pStyle w:val="ListBullet"/>
      </w:pPr>
      <w:r>
        <w:rPr>
          <w:rFonts w:ascii="Aptos" w:hAnsi="Aptos"/>
          <w:color w:val="24323D"/>
        </w:rPr>
        <w:t>droit d’accès équitable aux informations de l’administration, de la défense et des experts ;</w:t>
      </w:r>
    </w:p>
    <w:p>
      <w:pPr>
        <w:pStyle w:val="ListBullet"/>
      </w:pPr>
      <w:r>
        <w:rPr>
          <w:rFonts w:ascii="Aptos" w:hAnsi="Aptos"/>
          <w:color w:val="24323D"/>
        </w:rPr>
        <w:t>mesure publique de la sélection, de la répétition et de la circulation des sources, pas seulement de la diversité des opinions publiées ;</w:t>
      </w:r>
    </w:p>
    <w:p>
      <w:pPr>
        <w:pStyle w:val="ListBullet"/>
      </w:pPr>
      <w:r>
        <w:rPr>
          <w:rFonts w:ascii="Aptos" w:hAnsi="Aptos"/>
          <w:color w:val="24323D"/>
        </w:rPr>
        <w:t>archives publiques accessibles, avec protection des données sensibles et droit de rectification.</w:t>
      </w:r>
    </w:p>
    <w:p>
      <w:r>
        <w:rPr>
          <w:rFonts w:ascii="Aptos" w:hAnsi="Aptos"/>
          <w:color w:val="24323D"/>
        </w:rPr>
        <w:t>Un système automatisé peut recommander ou administrer une procédure bornée ; il ne reçoit jamais seul le pouvoir de définir un droit, une sanction, une priorité vitale ou l’état d’urgence.</w:t>
      </w:r>
    </w:p>
    <w:p>
      <w:r>
        <w:rPr>
          <w:rFonts w:ascii="Aptos" w:hAnsi="Aptos"/>
          <w:color w:val="24323D"/>
        </w:rPr>
        <w:t>Une pluralité de titres ne vaut pas pluralité si tous reprennent la même agence, la même base de données ou le même cadrage. Les informations décisives sont accompagnées d’un passeport public indiquant auteur, institution, mandat, financement, données primaires, chaîne de reprises, langue initiale, traductions, public visé et voie de contestation.</w:t>
      </w:r>
    </w:p>
    <w:p>
      <w:pPr>
        <w:pStyle w:val="Heading2"/>
      </w:pPr>
      <w:r>
        <w:t>10.2 Constitution linguistique</w:t>
      </w:r>
    </w:p>
    <w:p>
      <w:r>
        <w:rPr>
          <w:rFonts w:ascii="Aptos" w:hAnsi="Aptos"/>
          <w:color w:val="24323D"/>
        </w:rPr>
        <w:t>Aucune langue pivot ne possède un statut épistémique supérieur. Toute personne peut employer une langue reconnue de son territoire et recevoir traduction dans les procédures qui affectent ses droits.</w:t>
      </w:r>
    </w:p>
    <w:p>
      <w:pPr>
        <w:pStyle w:val="ListBullet"/>
      </w:pPr>
      <w:r>
        <w:rPr>
          <w:rFonts w:ascii="Aptos" w:hAnsi="Aptos"/>
          <w:color w:val="24323D"/>
        </w:rPr>
        <w:t>budgets de traduction et d’interprétation considérés comme infrastructure démocratique ;</w:t>
      </w:r>
    </w:p>
    <w:p>
      <w:pPr>
        <w:pStyle w:val="ListBullet"/>
      </w:pPr>
      <w:r>
        <w:rPr>
          <w:rFonts w:ascii="Aptos" w:hAnsi="Aptos"/>
          <w:color w:val="24323D"/>
        </w:rPr>
        <w:t>conservation du texte original à côté des versions traduites ;</w:t>
      </w:r>
    </w:p>
    <w:p>
      <w:pPr>
        <w:pStyle w:val="ListBullet"/>
      </w:pPr>
      <w:r>
        <w:rPr>
          <w:rFonts w:ascii="Aptos" w:hAnsi="Aptos"/>
          <w:color w:val="24323D"/>
        </w:rPr>
        <w:t>glossaires juridiques publics indiquant les divergences sans forcer de faux équivalents ;</w:t>
      </w:r>
    </w:p>
    <w:p>
      <w:pPr>
        <w:pStyle w:val="ListBullet"/>
      </w:pPr>
      <w:r>
        <w:rPr>
          <w:rFonts w:ascii="Aptos" w:hAnsi="Aptos"/>
          <w:color w:val="24323D"/>
        </w:rPr>
        <w:t>droit de contester une traduction ayant modifié un statut, une preuve ou une obligation ;</w:t>
      </w:r>
    </w:p>
    <w:p>
      <w:pPr>
        <w:pStyle w:val="ListBullet"/>
      </w:pPr>
      <w:r>
        <w:rPr>
          <w:rFonts w:ascii="Aptos" w:hAnsi="Aptos"/>
          <w:color w:val="24323D"/>
        </w:rPr>
        <w:t>rotation des langues de travail des institutions mondiales ;</w:t>
      </w:r>
    </w:p>
    <w:p>
      <w:pPr>
        <w:pStyle w:val="ListBullet"/>
      </w:pPr>
      <w:r>
        <w:rPr>
          <w:rFonts w:ascii="Aptos" w:hAnsi="Aptos"/>
          <w:color w:val="24323D"/>
        </w:rPr>
        <w:t>représentation des langues minoritaires dans les organes de normalisation ;</w:t>
      </w:r>
    </w:p>
    <w:p>
      <w:pPr>
        <w:pStyle w:val="ListBullet"/>
      </w:pPr>
      <w:r>
        <w:rPr>
          <w:rFonts w:ascii="Aptos" w:hAnsi="Aptos"/>
          <w:color w:val="24323D"/>
        </w:rPr>
        <w:t>délais adaptés lorsque plusieurs chaînes de traduction sont nécessaires ;</w:t>
      </w:r>
    </w:p>
    <w:p>
      <w:pPr>
        <w:pStyle w:val="ListBullet"/>
      </w:pPr>
      <w:r>
        <w:rPr>
          <w:rFonts w:ascii="Aptos" w:hAnsi="Aptos"/>
          <w:color w:val="24323D"/>
        </w:rPr>
        <w:t>actes constitutionnels ratifiés dans plusieurs versions faisant également foi, avec chambre d’arbitrage linguistique pluraliste.</w:t>
      </w:r>
    </w:p>
    <w:p>
      <w:r>
        <w:rPr>
          <w:rFonts w:ascii="Aptos" w:hAnsi="Aptos"/>
          <w:color w:val="24323D"/>
        </w:rPr>
        <w:t>Lorsque aucun équivalent exact n’existe, le terme local et son champ de conflit sont conservés. La traduction n’est pas un service auxiliaire : elle distribue l’accès, la légitimité et la capacité d’agir.</w:t>
      </w:r>
    </w:p>
    <w:p>
      <w:pPr>
        <w:pStyle w:val="Heading1"/>
      </w:pPr>
      <w:r>
        <w:t>11. Justice, sûreté et force</w:t>
      </w:r>
    </w:p>
    <w:p>
      <w:pPr>
        <w:pStyle w:val="Heading2"/>
      </w:pPr>
      <w:r>
        <w:t>11.1 Justice</w:t>
      </w:r>
    </w:p>
    <w:p>
      <w:r>
        <w:rPr>
          <w:rFonts w:ascii="Aptos" w:hAnsi="Aptos"/>
          <w:color w:val="24323D"/>
        </w:rPr>
        <w:t>La justice est indépendante, accessible et principalement réparatrice lorsque la sécurité le permet. Les victimes conservent une voix et un recours ; la réparation ne leur est pas imposée comme devoir de réconciliation.</w:t>
      </w:r>
    </w:p>
    <w:p>
      <w:pPr>
        <w:pStyle w:val="Heading2"/>
      </w:pPr>
      <w:r>
        <w:t>11.2 Sûreté</w:t>
      </w:r>
    </w:p>
    <w:p>
      <w:r>
        <w:rPr>
          <w:rFonts w:ascii="Aptos" w:hAnsi="Aptos"/>
          <w:color w:val="24323D"/>
        </w:rPr>
        <w:t>Les fonctions sont séparées entre prévention, médiation, enquête, intervention armée et détention. L’échelon local ne commande pas seul les enquêtes visant ses dirigeants. Tout usage de la force laisse une trace contrôlable et déclenche un examen extérieur proportionné.</w:t>
      </w:r>
    </w:p>
    <w:p>
      <w:pPr>
        <w:pStyle w:val="Heading2"/>
      </w:pPr>
      <w:r>
        <w:t>11.3 Défense</w:t>
      </w:r>
    </w:p>
    <w:p>
      <w:r>
        <w:rPr>
          <w:rFonts w:ascii="Aptos" w:hAnsi="Aptos"/>
          <w:color w:val="24323D"/>
        </w:rPr>
        <w:t>La défense commune possède trois couches : protection civile et résilience locale ; forces régionales professionnelles bornées ; capacités stratégiques confédérales strictement énumérées. Sa doctrine est défensive et le droit humanitaire demeure opposable en situation d’attaque.</w:t>
      </w:r>
    </w:p>
    <w:p>
      <w:r>
        <w:rPr>
          <w:rFonts w:ascii="Aptos" w:hAnsi="Aptos"/>
          <w:color w:val="24323D"/>
        </w:rPr>
        <w:t>Un commandement unifié peut être activé par des déclencheurs précis et pour une durée courte. Les clés de renseignement, ciblage, engagement, détention et prolongation appartiennent à des acteurs différents. Un comité pluraliste habilité au secret contrôle la légalité et publie des preuves non opérationnelles de l’autorisation ; un inspecteur indépendant peut suspendre une catégorie d’opérations.</w:t>
      </w:r>
    </w:p>
    <w:p>
      <w:r>
        <w:rPr>
          <w:rFonts w:ascii="Aptos" w:hAnsi="Aptos"/>
          <w:color w:val="24323D"/>
        </w:rPr>
        <w:t>Les unités territoriales ne peuvent constituer une armée privée ; la confédération ne peut déployer durablement une force intérieure sans renouvellement législatif et contrôle juridictionnel. L’objection de conscience ouvre un service civil équivalent.</w:t>
      </w:r>
    </w:p>
    <w:p>
      <w:r>
        <w:rPr>
          <w:rFonts w:ascii="Aptos" w:hAnsi="Aptos"/>
          <w:color w:val="24323D"/>
        </w:rPr>
        <w:t>L’objectif de long terme est le désarmement vérifiable et réciproque, avec conversion des industries et protection économique des travailleurs concernés. Après activation, démobilisation, restitution des pouvoirs civils, archives contrôlées et réparations sont testées séparément ; la fin déclarée de la crise ne suffit pas.</w:t>
      </w:r>
    </w:p>
    <w:p>
      <w:r>
        <w:rPr>
          <w:rFonts w:ascii="Aptos" w:hAnsi="Aptos"/>
          <w:color w:val="24323D"/>
        </w:rPr>
        <w:t>La sécurité comprend la redondance des médicaments, de l’énergie, des communications, des semences, des paiements et des routes logistiques. Une dépense militaire est refusée lorsque son coût marginal diminue davantage la sécurité humaine qu’il ne réduit une menace documentée.</w:t>
      </w:r>
    </w:p>
    <w:p>
      <w:pPr>
        <w:pStyle w:val="Heading2"/>
      </w:pPr>
      <w:r>
        <w:t>11.4 Carte complète de la coercition</w:t>
      </w:r>
    </w:p>
    <w:p>
      <w:r>
        <w:rPr>
          <w:rFonts w:ascii="Aptos" w:hAnsi="Aptos"/>
          <w:color w:val="24323D"/>
        </w:rPr>
        <w:t>La coercition ne se limite pas aux armes. L’audit constitutionnel suit également le contrôle des frontières, registres, identités, mers, airs, paiements, énergie, information, logistique, détention, sanctions, expropriations et infrastructures vitales.</w:t>
      </w:r>
    </w:p>
    <w:p>
      <w:r>
        <w:rPr>
          <w:rFonts w:ascii="Aptos" w:hAnsi="Aptos"/>
          <w:color w:val="24323D"/>
        </w:rPr>
        <w:t>Chaque réduction de capacité coercitive précise : capacité nuisible de chaque acteur, asymétrie initiale, ordre d’exécution, vérification indépendante, garantie contre réactivation et recours des populations. Un désarmement qui retire seulement les moyens du plus faible tout en laissant intact le dispositif dominant n’est pas qualifié de paix.</w:t>
      </w:r>
    </w:p>
    <w:p>
      <w:r>
        <w:rPr>
          <w:rFonts w:ascii="Aptos" w:hAnsi="Aptos"/>
          <w:color w:val="24323D"/>
        </w:rPr>
        <w:t>Les sanctions économiques doivent viser en priorité les responsables, rentes, capacités logistiques et biens discrétionnaires. Elles sont suspendues lorsqu’elles privent une population de soins, d’eau, d’alimentation, d’énergie vitale ou de moyens de recours sans réduire la capacité de décision ciblée.</w:t>
      </w:r>
    </w:p>
    <w:p>
      <w:pPr>
        <w:pStyle w:val="Heading1"/>
      </w:pPr>
      <w:r>
        <w:t>12. Urgence sans dictature provisoire permanente</w:t>
      </w:r>
    </w:p>
    <w:p>
      <w:r>
        <w:rPr>
          <w:rFonts w:ascii="Aptos" w:hAnsi="Aptos"/>
          <w:color w:val="24323D"/>
        </w:rPr>
        <w:t>Une urgence valide exige : danger défini, preuve publique dans la mesure du possible, territoire et durée bornés, compétences précisément listées et impossibilité motivée de suivre la procédure ordinaire.</w:t>
      </w:r>
    </w:p>
    <w:p>
      <w:pPr>
        <w:pStyle w:val="ListBullet"/>
      </w:pPr>
      <w:r>
        <w:rPr>
          <w:rFonts w:ascii="Aptos" w:hAnsi="Aptos"/>
          <w:color w:val="24323D"/>
        </w:rPr>
        <w:t>durée initiale très courte ;</w:t>
      </w:r>
    </w:p>
    <w:p>
      <w:pPr>
        <w:pStyle w:val="ListBullet"/>
      </w:pPr>
      <w:r>
        <w:rPr>
          <w:rFonts w:ascii="Aptos" w:hAnsi="Aptos"/>
          <w:color w:val="24323D"/>
        </w:rPr>
        <w:t>renouvellement conjoint par représentants des habitants et des territoires, avec jury citoyen obligatoire au-delà de la durée initiale ;</w:t>
      </w:r>
    </w:p>
    <w:p>
      <w:pPr>
        <w:pStyle w:val="ListBullet"/>
      </w:pPr>
      <w:r>
        <w:rPr>
          <w:rFonts w:ascii="Aptos" w:hAnsi="Aptos"/>
          <w:color w:val="24323D"/>
        </w:rPr>
        <w:t>contrôle judiciaire permanent ;</w:t>
      </w:r>
    </w:p>
    <w:p>
      <w:pPr>
        <w:pStyle w:val="ListBullet"/>
      </w:pPr>
      <w:r>
        <w:rPr>
          <w:rFonts w:ascii="Aptos" w:hAnsi="Aptos"/>
          <w:color w:val="24323D"/>
        </w:rPr>
        <w:t>opposition et presse jamais suspendues comme telles ;</w:t>
      </w:r>
    </w:p>
    <w:p>
      <w:pPr>
        <w:pStyle w:val="ListBullet"/>
      </w:pPr>
      <w:r>
        <w:rPr>
          <w:rFonts w:ascii="Aptos" w:hAnsi="Aptos"/>
          <w:color w:val="24323D"/>
        </w:rPr>
        <w:t>interdiction de modifier la constitution pendant l’urgence ;</w:t>
      </w:r>
    </w:p>
    <w:p>
      <w:pPr>
        <w:pStyle w:val="ListBullet"/>
      </w:pPr>
      <w:r>
        <w:rPr>
          <w:rFonts w:ascii="Aptos" w:hAnsi="Aptos"/>
          <w:color w:val="24323D"/>
        </w:rPr>
        <w:t>journal public des décisions et marchés ;</w:t>
      </w:r>
    </w:p>
    <w:p>
      <w:pPr>
        <w:pStyle w:val="ListBullet"/>
      </w:pPr>
      <w:r>
        <w:rPr>
          <w:rFonts w:ascii="Aptos" w:hAnsi="Aptos"/>
          <w:color w:val="24323D"/>
        </w:rPr>
        <w:t>expiration automatique ;</w:t>
      </w:r>
    </w:p>
    <w:p>
      <w:pPr>
        <w:pStyle w:val="ListBullet"/>
      </w:pPr>
      <w:r>
        <w:rPr>
          <w:rFonts w:ascii="Aptos" w:hAnsi="Aptos"/>
          <w:color w:val="24323D"/>
        </w:rPr>
        <w:t>commission indépendante après crise ;</w:t>
      </w:r>
    </w:p>
    <w:p>
      <w:pPr>
        <w:pStyle w:val="ListBullet"/>
      </w:pPr>
      <w:r>
        <w:rPr>
          <w:rFonts w:ascii="Aptos" w:hAnsi="Aptos"/>
          <w:color w:val="24323D"/>
        </w:rPr>
        <w:t>indemnisation des pertes illégitimement imposées.</w:t>
      </w:r>
    </w:p>
    <w:p>
      <w:r>
        <w:rPr>
          <w:rFonts w:ascii="Aptos" w:hAnsi="Aptos"/>
          <w:color w:val="24323D"/>
        </w:rPr>
        <w:t>Le pouvoir d’arrêter une mesure dangereuse est distinct du pouvoir de la relancer. La restauration de l’ordre ordinaire est testée en pratique ; elle n’est pas présumée parce que l’urgence a été déclarée terminée.</w:t>
      </w:r>
    </w:p>
    <w:p>
      <w:pPr>
        <w:pStyle w:val="Heading1"/>
      </w:pPr>
      <w:r>
        <w:t>13. Où se cacheraient les centres de pouvoir</w:t>
      </w:r>
    </w:p>
    <w:p>
      <w:r>
        <w:rPr>
          <w:rFonts w:ascii="Aptos" w:hAnsi="Aptos"/>
          <w:color w:val="24323D"/>
        </w:rPr>
        <w:t>La structure formelle ne suffit pas. Un centre réel apparaît chez celui qui contrôle une clé, un seuil, un quorum, un classement, une exception, un calendrier, une archive, un réseau ou la preuve admise.</w:t>
      </w:r>
    </w:p>
    <w:p>
      <w:r>
        <w:rPr>
          <w:rFonts w:ascii="Aptos" w:hAnsi="Aptos"/>
          <w:color w:val="24323D"/>
        </w:rPr>
        <w:t>Les zones à surveiller prioritairement sont :</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Centre possible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Capacité de domination</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Contrepoids obligatoire</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Autorité scientifique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définir les scénarios admissibles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pluralité, données ouvertes, contre-expertise</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Administration de la planification</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contrôler catégories et allocations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mandats publics, appel, rotation, audit</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 de compensation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couper crédit et paiements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gouvernance plurielle, continuité minimale garantie</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Infrastructure numérique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filtrer accès et visibilité</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protocoles ouverts, interopérabilité, contrôle usager</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Exécutif d’urgence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concentrer vitesse et secret</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extinction, juge, contrôle ex post, séparation relance</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Grands communs</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devenir monopoles corporatistes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représentation des usagers et territoires, droit d’appel</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Fédérations riches</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bloquer la redistribution</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vote populaire mondial et plancher de contribution</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Appareils de sécurité</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monopoliser information et force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organes séparés, traçabilité, contrôle civil croisé</w:t>
            </w:r>
          </w:p>
        </w:tc>
      </w:tr>
    </w:tbl>
    <w:p>
      <w:pPr>
        <w:spacing w:after="40"/>
      </w:pPr>
    </w:p>
    <w:p>
      <w:r>
        <w:rPr>
          <w:rFonts w:ascii="Aptos" w:hAnsi="Aptos"/>
          <w:color w:val="24323D"/>
        </w:rPr>
        <w:t>Aucun organe ne doit cumuler la fixation de l’indicateur, la collecte des données, l’évaluation du résultat et la sanction.</w:t>
      </w:r>
    </w:p>
    <w:p>
      <w:pPr>
        <w:pStyle w:val="Heading2"/>
      </w:pPr>
      <w:r>
        <w:t>13.1 Administration opératrice et administration contradictrice</w:t>
      </w:r>
    </w:p>
    <w:p>
      <w:r>
        <w:rPr>
          <w:rFonts w:ascii="Aptos" w:hAnsi="Aptos"/>
          <w:color w:val="24323D"/>
        </w:rPr>
        <w:t>La rotation des élus ne neutralise pas le pouvoir des permanents qui contrôlent catégories, agenda, traduction, archives et options recevables. Les fonctions critiques sont donc séparées :</w:t>
      </w:r>
    </w:p>
    <w:p>
      <w:pPr>
        <w:pStyle w:val="ListBullet"/>
      </w:pPr>
      <w:r>
        <w:rPr>
          <w:rFonts w:ascii="Aptos" w:hAnsi="Aptos"/>
          <w:color w:val="24323D"/>
        </w:rPr>
        <w:t xml:space="preserve">le </w:t>
      </w:r>
      <w:r>
        <w:rPr>
          <w:rFonts w:ascii="Aptos" w:hAnsi="Aptos"/>
          <w:b/>
          <w:color w:val="24323D"/>
        </w:rPr>
        <w:t>service opérateur</w:t>
      </w:r>
      <w:r>
        <w:rPr>
          <w:rFonts w:ascii="Aptos" w:hAnsi="Aptos"/>
          <w:color w:val="24323D"/>
        </w:rPr>
        <w:t xml:space="preserve"> maintient le savoir, les réseaux et la continuité ;</w:t>
      </w:r>
    </w:p>
    <w:p>
      <w:pPr>
        <w:pStyle w:val="ListBullet"/>
      </w:pPr>
      <w:r>
        <w:rPr>
          <w:rFonts w:ascii="Aptos" w:hAnsi="Aptos"/>
          <w:color w:val="24323D"/>
        </w:rPr>
        <w:t xml:space="preserve">le </w:t>
      </w:r>
      <w:r>
        <w:rPr>
          <w:rFonts w:ascii="Aptos" w:hAnsi="Aptos"/>
          <w:b/>
          <w:color w:val="24323D"/>
        </w:rPr>
        <w:t>service public contradicteur</w:t>
      </w:r>
      <w:r>
        <w:rPr>
          <w:rFonts w:ascii="Aptos" w:hAnsi="Aptos"/>
          <w:color w:val="24323D"/>
        </w:rPr>
        <w:t>, financé de manière autonome et pluriannuelle, reproduit les calculs, enquête sur les options écartées et assiste minorités, oppositions et jurys ;</w:t>
      </w:r>
    </w:p>
    <w:p>
      <w:pPr>
        <w:pStyle w:val="ListBullet"/>
      </w:pPr>
      <w:r>
        <w:rPr>
          <w:rFonts w:ascii="Aptos" w:hAnsi="Aptos"/>
          <w:color w:val="24323D"/>
        </w:rPr>
        <w:t>un registre conserve les options refusées, leur auteur, leur motif et leur date ;</w:t>
      </w:r>
    </w:p>
    <w:p>
      <w:pPr>
        <w:pStyle w:val="ListBullet"/>
      </w:pPr>
      <w:r>
        <w:rPr>
          <w:rFonts w:ascii="Aptos" w:hAnsi="Aptos"/>
          <w:color w:val="24323D"/>
        </w:rPr>
        <w:t>les fonctions d’agenda, classement, nomination et audit tournent, sans imposer une rotation destructrice de tous les métiers ;</w:t>
      </w:r>
    </w:p>
    <w:p>
      <w:pPr>
        <w:pStyle w:val="ListBullet"/>
      </w:pPr>
      <w:r>
        <w:rPr>
          <w:rFonts w:ascii="Aptos" w:hAnsi="Aptos"/>
          <w:color w:val="24323D"/>
        </w:rPr>
        <w:t>les jurys peuvent engager leurs propres enquêteurs ;</w:t>
      </w:r>
    </w:p>
    <w:p>
      <w:pPr>
        <w:pStyle w:val="ListBullet"/>
      </w:pPr>
      <w:r>
        <w:rPr>
          <w:rFonts w:ascii="Aptos" w:hAnsi="Aptos"/>
          <w:color w:val="24323D"/>
        </w:rPr>
        <w:t>une décision peut être contestée par sa catégorie et ses données, pas seulement dans le cadre fixé par l’administration.</w:t>
      </w:r>
    </w:p>
    <w:p>
      <w:r>
        <w:rPr>
          <w:rFonts w:ascii="Aptos" w:hAnsi="Aptos"/>
          <w:color w:val="24323D"/>
        </w:rPr>
        <w:t>L’appareil contradicteur est lui-même évalué : s’il ne détecte plus d’erreurs ni ne modifie de décisions tout en ajoutant une charge importante, son périmètre est réduit ou recomposé.</w:t>
      </w:r>
    </w:p>
    <w:p>
      <w:pPr>
        <w:pStyle w:val="Heading1"/>
      </w:pPr>
      <w:r>
        <w:t>14. Prévention de la reconstitution des classes dominantes</w:t>
      </w:r>
    </w:p>
    <w:p>
      <w:r>
        <w:rPr>
          <w:rFonts w:ascii="Aptos" w:hAnsi="Aptos"/>
          <w:color w:val="24323D"/>
        </w:rPr>
        <w:t>Le système suit dix vecteurs de reconcentration : propriété, rente, monopole, veto, héritage, immunité, contrôle territorial, contrôle productif, déplacement des coûts et capacité de réactivation.</w:t>
      </w:r>
    </w:p>
    <w:p>
      <w:r>
        <w:rPr>
          <w:rFonts w:ascii="Aptos" w:hAnsi="Aptos"/>
          <w:color w:val="24323D"/>
        </w:rPr>
        <w:t>Les protections comprennent :</w:t>
      </w:r>
    </w:p>
    <w:p>
      <w:pPr>
        <w:pStyle w:val="ListBullet"/>
      </w:pPr>
      <w:r>
        <w:rPr>
          <w:rFonts w:ascii="Aptos" w:hAnsi="Aptos"/>
          <w:color w:val="24323D"/>
        </w:rPr>
        <w:t>publicité des bénéficiaires réels et des chaînes de financement ;</w:t>
      </w:r>
    </w:p>
    <w:p>
      <w:pPr>
        <w:pStyle w:val="ListBullet"/>
      </w:pPr>
      <w:r>
        <w:rPr>
          <w:rFonts w:ascii="Aptos" w:hAnsi="Aptos"/>
          <w:color w:val="24323D"/>
        </w:rPr>
        <w:t>plafonnement des concentrations économiques et médiatiques ;</w:t>
      </w:r>
    </w:p>
    <w:p>
      <w:pPr>
        <w:pStyle w:val="ListBullet"/>
      </w:pPr>
      <w:r>
        <w:rPr>
          <w:rFonts w:ascii="Aptos" w:hAnsi="Aptos"/>
          <w:color w:val="24323D"/>
        </w:rPr>
        <w:t>fiscalité fortement progressive du patrimoine et des successions élevées ;</w:t>
      </w:r>
    </w:p>
    <w:p>
      <w:pPr>
        <w:pStyle w:val="ListBullet"/>
      </w:pPr>
      <w:r>
        <w:rPr>
          <w:rFonts w:ascii="Aptos" w:hAnsi="Aptos"/>
          <w:color w:val="24323D"/>
        </w:rPr>
        <w:t>droit de reprise coopérative ;</w:t>
      </w:r>
    </w:p>
    <w:p>
      <w:pPr>
        <w:pStyle w:val="ListBullet"/>
      </w:pPr>
      <w:r>
        <w:rPr>
          <w:rFonts w:ascii="Aptos" w:hAnsi="Aptos"/>
          <w:color w:val="24323D"/>
        </w:rPr>
        <w:t>incompatibilités et rotation des fonctions ;</w:t>
      </w:r>
    </w:p>
    <w:p>
      <w:pPr>
        <w:pStyle w:val="ListBullet"/>
      </w:pPr>
      <w:r>
        <w:rPr>
          <w:rFonts w:ascii="Aptos" w:hAnsi="Aptos"/>
          <w:color w:val="24323D"/>
        </w:rPr>
        <w:t>financement autonome des contre-pouvoirs ;</w:t>
      </w:r>
    </w:p>
    <w:p>
      <w:pPr>
        <w:pStyle w:val="ListBullet"/>
      </w:pPr>
      <w:r>
        <w:rPr>
          <w:rFonts w:ascii="Aptos" w:hAnsi="Aptos"/>
          <w:color w:val="24323D"/>
        </w:rPr>
        <w:t>capacité citoyenne de bloquer, enquêter, archiver, sanctionner et réparer ;</w:t>
      </w:r>
    </w:p>
    <w:p>
      <w:pPr>
        <w:pStyle w:val="ListBullet"/>
      </w:pPr>
      <w:r>
        <w:rPr>
          <w:rFonts w:ascii="Aptos" w:hAnsi="Aptos"/>
          <w:color w:val="24323D"/>
        </w:rPr>
        <w:t>révision régulière des concessions et délégations ;</w:t>
      </w:r>
    </w:p>
    <w:p>
      <w:pPr>
        <w:pStyle w:val="ListBullet"/>
      </w:pPr>
      <w:r>
        <w:rPr>
          <w:rFonts w:ascii="Aptos" w:hAnsi="Aptos"/>
          <w:color w:val="24323D"/>
        </w:rPr>
        <w:t>interdiction des immunités contractuelles face aux droits fondamentaux ;</w:t>
      </w:r>
    </w:p>
    <w:p>
      <w:pPr>
        <w:pStyle w:val="ListBullet"/>
      </w:pPr>
      <w:r>
        <w:rPr>
          <w:rFonts w:ascii="Aptos" w:hAnsi="Aptos"/>
          <w:color w:val="24323D"/>
        </w:rPr>
        <w:t>examen des coûts déplacés hors territoire et hors bilan.</w:t>
      </w:r>
    </w:p>
    <w:p>
      <w:r>
        <w:rPr>
          <w:rFonts w:ascii="Aptos" w:hAnsi="Aptos"/>
          <w:color w:val="24323D"/>
        </w:rPr>
        <w:t>Une réforme n’est tenue pour réelle que si elle retire effectivement une capacité de domination ou crée chez les personnes concernées une capacité autonome de détection, contestation, blocage, sanction, réparation ou financement.</w:t>
      </w:r>
    </w:p>
    <w:p>
      <w:pPr>
        <w:pStyle w:val="Heading1"/>
      </w:pPr>
      <w:r>
        <w:t>15. Métriques et adaptation stratégique</w:t>
      </w:r>
    </w:p>
    <w:p>
      <w:r>
        <w:rPr>
          <w:rFonts w:ascii="Aptos" w:hAnsi="Aptos"/>
          <w:color w:val="24323D"/>
        </w:rPr>
        <w:t>Les indicateurs publics servent au diagnostic ; aucun score composite unique ne gouverne l’ensemble. Pour chaque objectif, on conserve plusieurs mesures, des données qualitatives, une observation hors cible et un droit de contestation.</w:t>
      </w:r>
    </w:p>
    <w:p>
      <w:r>
        <w:rPr>
          <w:rFonts w:ascii="Aptos" w:hAnsi="Aptos"/>
          <w:color w:val="24323D"/>
        </w:rPr>
        <w:t>Exemples de couples à ne pas confondre :</w:t>
      </w:r>
    </w:p>
    <w:p>
      <w:pPr>
        <w:pStyle w:val="ListBullet"/>
      </w:pPr>
      <w:r>
        <w:rPr>
          <w:rFonts w:ascii="Aptos" w:hAnsi="Aptos"/>
          <w:color w:val="24323D"/>
        </w:rPr>
        <w:t>baisse territoriale des émissions / baisse de l’empreinte importée ;</w:t>
      </w:r>
    </w:p>
    <w:p>
      <w:pPr>
        <w:pStyle w:val="ListBullet"/>
      </w:pPr>
      <w:r>
        <w:rPr>
          <w:rFonts w:ascii="Aptos" w:hAnsi="Aptos"/>
          <w:color w:val="24323D"/>
        </w:rPr>
        <w:t>nombre de logements / capacité réelle à habiter dignement ;</w:t>
      </w:r>
    </w:p>
    <w:p>
      <w:pPr>
        <w:pStyle w:val="ListBullet"/>
      </w:pPr>
      <w:r>
        <w:rPr>
          <w:rFonts w:ascii="Aptos" w:hAnsi="Aptos"/>
          <w:color w:val="24323D"/>
        </w:rPr>
        <w:t>taux d’emploi / sécurité, utilité et autonomie au travail ;</w:t>
      </w:r>
    </w:p>
    <w:p>
      <w:pPr>
        <w:pStyle w:val="ListBullet"/>
      </w:pPr>
      <w:r>
        <w:rPr>
          <w:rFonts w:ascii="Aptos" w:hAnsi="Aptos"/>
          <w:color w:val="24323D"/>
        </w:rPr>
        <w:t>temps de consultation / influence réelle sur la décision ;</w:t>
      </w:r>
    </w:p>
    <w:p>
      <w:pPr>
        <w:pStyle w:val="ListBullet"/>
      </w:pPr>
      <w:r>
        <w:rPr>
          <w:rFonts w:ascii="Aptos" w:hAnsi="Aptos"/>
          <w:color w:val="24323D"/>
        </w:rPr>
        <w:t>part de propriété publique / pouvoir effectif des usagers et travailleurs ;</w:t>
      </w:r>
    </w:p>
    <w:p>
      <w:pPr>
        <w:pStyle w:val="ListBullet"/>
      </w:pPr>
      <w:r>
        <w:rPr>
          <w:rFonts w:ascii="Aptos" w:hAnsi="Aptos"/>
          <w:color w:val="24323D"/>
        </w:rPr>
        <w:t>revenu moyen / accès universel et concentration patrimoniale.</w:t>
      </w:r>
    </w:p>
    <w:p>
      <w:r>
        <w:rPr>
          <w:rFonts w:ascii="Aptos" w:hAnsi="Aptos"/>
          <w:color w:val="24323D"/>
        </w:rPr>
        <w:t>Lorsqu’un indicateur devient une cible, sa relation avec l’objectif doit être réobservée. Les audits cherchent l’évitement, la falsification, le déplacement géographique, le transfert de charge vers le travail invisible et la conformité purement documentaire.</w:t>
      </w:r>
    </w:p>
    <w:p>
      <w:pPr>
        <w:pStyle w:val="Heading2"/>
      </w:pPr>
      <w:r>
        <w:t>Révision CCT POL 1 1 Marges et contre champ</w:t>
      </w:r>
    </w:p>
    <w:p>
      <w:r>
        <w:rPr>
          <w:rFonts w:ascii="Aptos" w:hAnsi="Aptos"/>
          <w:color w:val="24323D"/>
        </w:rPr>
        <w:t>La CCT ne traite plus la résilience comme la promesse de prédire parfaitement un choc. Elle finance des marges distribuées : eau, énergie, soins, semences, alimentation, pièces de rechange, communications, voies analogiques et capacités locales de réparation. Une réserve n’est réelle que si elle est accessible, entretenue, exercée et indépendante de la panne qui frappe le système principal.</w:t>
      </w:r>
    </w:p>
    <w:p>
      <w:r>
        <w:rPr>
          <w:rFonts w:ascii="Aptos" w:hAnsi="Aptos"/>
          <w:color w:val="24323D"/>
        </w:rPr>
        <w:t>Avant toute décision majeure, urgente ou irréversible, une instruction doit produire son contre-champ : personnes et écosystèmes absents, limites de détection, bénéficiaires et porteurs de coûts, détenteurs de veto, condition de renversement et capacité de recours des personnes affectées. Une identité collective ne remplace jamais la preuve d’un mécanisme de pouvoir, de responsabilité ou de traitement différentiel.</w:t>
      </w:r>
    </w:p>
    <w:p>
      <w:r>
        <w:rPr>
          <w:rFonts w:ascii="Aptos" w:hAnsi="Aptos"/>
          <w:color w:val="24323D"/>
        </w:rPr>
        <w:t>La pluralité économique est bornée par une direction explicite. Le vital est démarchandisé ; les formes résiduelles de marché ou de propriété ne sont acceptables que si elles ne conditionnent ni un droit vital ni un plafond écologique, ne donnent pas un pouvoir proportionnel à la richesse, et sont retirées lorsqu’elles reconstituent rente, héritage concentré, monopole ou veto. Une coopérative qui reproduit ces capacités échoue au même test qu’une entreprise privée.</w:t>
      </w:r>
    </w:p>
    <w:p>
      <w:r>
        <w:rPr>
          <w:rFonts w:ascii="Aptos" w:hAnsi="Aptos"/>
          <w:color w:val="24323D"/>
        </w:rPr>
        <w:t>Dans une crise, la priorité va aux situations où vulnérabilité, fenêtre d’action, irréversibilité, capacité locale d’exécution et possibilité de préserver une marge se rencontrent. Les travailleurs qui maintiennent eau, santé, alimentation, énergie, transport, communications et secours doivent disposer de protection, relève et droit de refus ; leur perte de capacité mettrait beaucoup d’autres personnes en danger. Les zones humides, bassins versants et autres amortisseurs écologiques existants bénéficient d’une présomption de protection plutôt que d’une promesse de restauration après dommage.</w:t>
      </w:r>
    </w:p>
    <w:p>
      <w:r>
        <w:rPr>
          <w:rFonts w:ascii="Aptos" w:hAnsi="Aptos"/>
          <w:color w:val="24323D"/>
        </w:rPr>
        <w:t>Le cas réel El Niño 2026–2027 au Mozambique rend cette doctrine concrète sans prétendre valider la CCT : les sources publiques confirment les déclencheurs d’action anticipée, la nécessité de protéger eau, semences, actifs et continuité, mais elles ne permettent pas encore une allocation chiffrée par district ni une évaluation après choc. La CCT y désigne les responsabilités existantes et les rend contestables ; elle ne prétend pas se substituer aux institutions mozambicaines.</w:t>
      </w:r>
    </w:p>
    <w:p>
      <w:r>
        <w:rPr>
          <w:rFonts w:ascii="Aptos" w:hAnsi="Aptos"/>
          <w:color w:val="24323D"/>
        </w:rPr>
        <w:t>Le Ciel de la CCT désigne la continuité mobile entre les communs, non un centre qui les possède. Il relie un sol local de réserves, de savoirs, d’équipes et de recours à des veines de circulation, puis à des vecteurs adaptés : bateau ou barge quand les crues coupent les routes, véhicule terrestre ou relais humain ailleurs. Un vecteur ne compte que s’il ouvre une voie indépendante, protège l’accès vital sans condition et laisse après son départ davantage de capacité locale : pièces, réparation, fonds de secours et pouvoir de recours. Un bateau qui devient le seul canal de survie échoue au même test qu’un dépôt ou un fournisseur unique.</w:t>
      </w:r>
    </w:p>
    <w:p>
      <w:pPr>
        <w:pStyle w:val="Heading2"/>
      </w:pPr>
      <w:r>
        <w:t>Charge constitutionnelle et polycrise</w:t>
      </w:r>
    </w:p>
    <w:p>
      <w:r>
        <w:rPr>
          <w:rFonts w:ascii="Aptos" w:hAnsi="Aptos"/>
          <w:color w:val="24323D"/>
        </w:rPr>
        <w:t>La CCT doit être éprouvée lorsque besoins vitaux, plafond écologique, droits, trace et restitution sollicitent les mêmes ressources dégradées. Les rapports secondaires et les formalités réversibles peuvent alors être délestés ; accès vital, traçabilité minimale, recours contre coercition, plafond critique et preuve de restitution ne le peuvent pas. Une procédure qui n’ajoute aucune protection observable face à une solution plus simple doit être fusionnée ou retirée.</w:t>
      </w:r>
    </w:p>
    <w:p>
      <w:pPr>
        <w:pStyle w:val="Heading1"/>
      </w:pPr>
      <w:r>
        <w:t>16. Cycle de maintenance constitutionnelle</w:t>
      </w:r>
    </w:p>
    <w:p>
      <w:r>
        <w:rPr>
          <w:rFonts w:ascii="Aptos" w:hAnsi="Aptos"/>
          <w:color w:val="24323D"/>
        </w:rPr>
        <w:t>Les rôles sont séparés :</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Fonction</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Acteur principal</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Contrôle</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Proposer une réforme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citoyens, territoires, institutions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recevabilité juridique minimale</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Instruire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convention pluraliste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données et auditions ouvertes</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Refuser provisoirement</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 ou juge selon motif</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décision motivée et appel</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Autoriser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collèges démocratiques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majorité renforcée selon effet</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Expérimenter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territoires volontaires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fondamentaux intangibles</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Évaluer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équipes indépendantes multiples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méthodes et données publiées</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Généraliser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chambres + citoyens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résultats non automatiquement décisifs</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Suspendre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juge, assemblée ou initiative d’urgence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 croisé rapide</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Restaurer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exécutifs compétents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test effectif et audit des pertes</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Réparer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fonds et responsables désignés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recours des porteurs de pertes</w:t>
            </w:r>
          </w:p>
        </w:tc>
      </w:tr>
    </w:tbl>
    <w:p>
      <w:pPr>
        <w:spacing w:after="40"/>
      </w:pPr>
    </w:p>
    <w:p>
      <w:r>
        <w:rPr>
          <w:rFonts w:ascii="Aptos" w:hAnsi="Aptos"/>
          <w:color w:val="24323D"/>
        </w:rPr>
        <w:t>Une réforme traverse des états distincts : proposée, écrite, expérimentée, évaluée, autorisée, déployée et réobservée. Un succès local ne prouve pas sa robustesse mondiale ; les pilotes doivent varier taille, richesse, culture politique, stress, canal de participation et capacité administrative.</w:t>
      </w:r>
    </w:p>
    <w:p>
      <w:pPr>
        <w:pStyle w:val="Heading2"/>
      </w:pPr>
      <w:r>
        <w:t>16.1 Budget de complexité</w:t>
      </w:r>
    </w:p>
    <w:p>
      <w:r>
        <w:rPr>
          <w:rFonts w:ascii="Aptos" w:hAnsi="Aptos"/>
          <w:color w:val="24323D"/>
        </w:rPr>
        <w:t>Toute institution nouvelle doit indiquer l’organe qu’elle remplace, fusionne ou laisse subsister avec justification. Sont comptés comme coûts politiques : temps administratif des ménages, nombre d’autorisations, délais, charge de preuve, coût de traduction, besoin d’assistance spécialisée et nombre de points de veto.</w:t>
      </w:r>
    </w:p>
    <w:p>
      <w:pPr>
        <w:pStyle w:val="ListBullet"/>
      </w:pPr>
      <w:r>
        <w:rPr>
          <w:rFonts w:ascii="Aptos" w:hAnsi="Aptos"/>
          <w:color w:val="24323D"/>
        </w:rPr>
        <w:t>un défenseur public unique reçoit toute demande et la route vers l’autorité compétente ;</w:t>
      </w:r>
    </w:p>
    <w:p>
      <w:pPr>
        <w:pStyle w:val="ListBullet"/>
      </w:pPr>
      <w:r>
        <w:rPr>
          <w:rFonts w:ascii="Aptos" w:hAnsi="Aptos"/>
          <w:color w:val="24323D"/>
        </w:rPr>
        <w:t>les contrôles lourds s’activent selon le risque, non selon le prestige du dossier ;</w:t>
      </w:r>
    </w:p>
    <w:p>
      <w:pPr>
        <w:pStyle w:val="ListBullet"/>
      </w:pPr>
      <w:r>
        <w:rPr>
          <w:rFonts w:ascii="Aptos" w:hAnsi="Aptos"/>
          <w:color w:val="24323D"/>
        </w:rPr>
        <w:t>les organes exceptionnels expirent automatiquement ;</w:t>
      </w:r>
    </w:p>
    <w:p>
      <w:pPr>
        <w:pStyle w:val="ListBullet"/>
      </w:pPr>
      <w:r>
        <w:rPr>
          <w:rFonts w:ascii="Aptos" w:hAnsi="Aptos"/>
          <w:color w:val="24323D"/>
        </w:rPr>
        <w:t>une convention périodique de simplification peut supprimer les doublons mais pas un recours sans démontrer une protection équivalente ;</w:t>
      </w:r>
    </w:p>
    <w:p>
      <w:pPr>
        <w:pStyle w:val="ListBullet"/>
      </w:pPr>
      <w:r>
        <w:rPr>
          <w:rFonts w:ascii="Aptos" w:hAnsi="Aptos"/>
          <w:color w:val="24323D"/>
        </w:rPr>
        <w:t>toute simplification est annulée si elle réduit davantage la détection, la contestation ou la réparation d’un dommage grave qu’elle ne réduit la charge civique ;</w:t>
      </w:r>
    </w:p>
    <w:p>
      <w:pPr>
        <w:pStyle w:val="ListBullet"/>
      </w:pPr>
      <w:r>
        <w:rPr>
          <w:rFonts w:ascii="Aptos" w:hAnsi="Aptos"/>
          <w:color w:val="24323D"/>
        </w:rPr>
        <w:t>une carte publique et intelligible indique, pour chaque fonction, qui propose, décide, exécute, contrôle, suspend et répare.</w:t>
      </w:r>
    </w:p>
    <w:p>
      <w:pPr>
        <w:pStyle w:val="Heading1"/>
      </w:pPr>
      <w:r>
        <w:t>17. Stratégie de transition</w:t>
      </w:r>
    </w:p>
    <w:p>
      <w:r>
        <w:rPr>
          <w:rFonts w:ascii="Aptos" w:hAnsi="Aptos"/>
          <w:color w:val="24323D"/>
        </w:rPr>
        <w:t xml:space="preserve">Les phases indiquent une direction politique, mais leur franchissement dépend de </w:t>
      </w:r>
      <w:r>
        <w:rPr>
          <w:rFonts w:ascii="Aptos" w:hAnsi="Aptos"/>
          <w:b/>
          <w:color w:val="24323D"/>
        </w:rPr>
        <w:t>portes de capacité</w:t>
      </w:r>
      <w:r>
        <w:rPr>
          <w:rFonts w:ascii="Aptos" w:hAnsi="Aptos"/>
          <w:color w:val="24323D"/>
        </w:rPr>
        <w:t>. Avant tout transfert critique sont cartographiés : intrants, opérateurs, données, licences, stocks, financement, maintenance, dépendances étrangères et voies de substitution. Une capacité alternative est construite, testée en charge, autorisée puis réobservée avant de démanteler l’ancienne.</w:t>
      </w:r>
    </w:p>
    <w:p>
      <w:r>
        <w:rPr>
          <w:rFonts w:ascii="Aptos" w:hAnsi="Aptos"/>
          <w:color w:val="24323D"/>
        </w:rPr>
        <w:t>La préparation ne confère pas un veto indéfini : chaque porte possède un responsable, une date de décision, des critères publics, une contre-évaluation et une solution si l’acteur en place refuse de coopérer.</w:t>
      </w:r>
    </w:p>
    <w:p>
      <w:r>
        <w:rPr>
          <w:rFonts w:ascii="Aptos" w:hAnsi="Aptos"/>
          <w:color w:val="24323D"/>
        </w:rPr>
        <w:t xml:space="preserve">Pour un service vital, la porte est couplée à une </w:t>
      </w:r>
      <w:r>
        <w:rPr>
          <w:rFonts w:ascii="Aptos" w:hAnsi="Aptos"/>
          <w:b/>
          <w:color w:val="24323D"/>
        </w:rPr>
        <w:t>cellule de continuité bornée</w:t>
      </w:r>
      <w:r>
        <w:rPr>
          <w:rFonts w:ascii="Aptos" w:hAnsi="Aptos"/>
          <w:color w:val="24323D"/>
        </w:rPr>
        <w:t>. Elle peut coordonner stocks, substitutions, personnels et fournisseurs pendant une fenêtre préautorisée, mais ne peut modifier les droits, les fins du service ou la propriété. Son activation exige deux clés détenues par des collèges distincts ; chaque acte est journalisé ; usagers et travailleurs disposent d’un canal d’alerte direct ; son mandat expire automatiquement. Une équipe indépendante possède dès l’ouverture les accès nécessaires pour restaurer le régime ordinaire et supprimer clés, données temporaires et délégations.</w:t>
      </w:r>
    </w:p>
    <w:p>
      <w:r>
        <w:rPr>
          <w:rFonts w:ascii="Aptos" w:hAnsi="Aptos"/>
          <w:color w:val="24323D"/>
        </w:rPr>
        <w:t>Si l’acteur sortant bloque la porte, la cellule utilise une cartographie et des accords de secours conservés hors de sa dépendance. L’échec de cette voie indépendante suspend le transfert : il ne justifie ni un passage aveugle ni la prolongation automatique du pouvoir exceptionnel.</w:t>
      </w:r>
    </w:p>
    <w:p>
      <w:pPr>
        <w:pStyle w:val="Heading2"/>
      </w:pPr>
      <w:r>
        <w:t>Phase 0 — Préfiguration immédiate</w:t>
      </w:r>
    </w:p>
    <w:p>
      <w:pPr>
        <w:pStyle w:val="ListBullet"/>
      </w:pPr>
      <w:r>
        <w:rPr>
          <w:rFonts w:ascii="Aptos" w:hAnsi="Aptos"/>
          <w:color w:val="24323D"/>
        </w:rPr>
        <w:t>fédérer coopératives, syndicats, mutuelles, municipalités, mouvements écologistes et communautés autochtones sans exiger leur fusion doctrinale ;</w:t>
      </w:r>
    </w:p>
    <w:p>
      <w:pPr>
        <w:pStyle w:val="ListBullet"/>
      </w:pPr>
      <w:r>
        <w:rPr>
          <w:rFonts w:ascii="Aptos" w:hAnsi="Aptos"/>
          <w:color w:val="24323D"/>
        </w:rPr>
        <w:t>créer des assemblées locales, budgets participatifs et institutions de communs ;</w:t>
      </w:r>
    </w:p>
    <w:p>
      <w:pPr>
        <w:pStyle w:val="ListBullet"/>
      </w:pPr>
      <w:r>
        <w:rPr>
          <w:rFonts w:ascii="Aptos" w:hAnsi="Aptos"/>
          <w:color w:val="24323D"/>
        </w:rPr>
        <w:t>développer données ouvertes, outils publics et contre-expertise ;</w:t>
      </w:r>
    </w:p>
    <w:p>
      <w:pPr>
        <w:pStyle w:val="ListBullet"/>
      </w:pPr>
      <w:r>
        <w:rPr>
          <w:rFonts w:ascii="Aptos" w:hAnsi="Aptos"/>
          <w:color w:val="24323D"/>
        </w:rPr>
        <w:t>cartographier les nœuds vitaux : paiements, énergie, médicaments, logistique, information, pièces et foncier ;</w:t>
      </w:r>
    </w:p>
    <w:p>
      <w:pPr>
        <w:pStyle w:val="ListBullet"/>
      </w:pPr>
      <w:r>
        <w:rPr>
          <w:rFonts w:ascii="Aptos" w:hAnsi="Aptos"/>
          <w:color w:val="24323D"/>
        </w:rPr>
        <w:t>constituer stocks, compétences, logiciels compatibles et accords de secours ;</w:t>
      </w:r>
    </w:p>
    <w:p>
      <w:pPr>
        <w:pStyle w:val="ListBullet"/>
      </w:pPr>
      <w:r>
        <w:rPr>
          <w:rFonts w:ascii="Aptos" w:hAnsi="Aptos"/>
          <w:color w:val="24323D"/>
        </w:rPr>
        <w:t>établir un programme commun minimal de droits, démocratisation économique et plafonds écologiques.</w:t>
      </w:r>
    </w:p>
    <w:p>
      <w:pPr>
        <w:pStyle w:val="Heading2"/>
      </w:pPr>
      <w:r>
        <w:t>Phase 1 — Double pouvoir démocratique</w:t>
      </w:r>
    </w:p>
    <w:p>
      <w:pPr>
        <w:pStyle w:val="ListBullet"/>
      </w:pPr>
      <w:r>
        <w:rPr>
          <w:rFonts w:ascii="Aptos" w:hAnsi="Aptos"/>
          <w:color w:val="24323D"/>
        </w:rPr>
        <w:t>services essentiels universels ;</w:t>
      </w:r>
    </w:p>
    <w:p>
      <w:pPr>
        <w:pStyle w:val="ListBullet"/>
      </w:pPr>
      <w:r>
        <w:rPr>
          <w:rFonts w:ascii="Aptos" w:hAnsi="Aptos"/>
          <w:color w:val="24323D"/>
        </w:rPr>
        <w:t>garantie de revenu et réduction du temps de travail ;</w:t>
      </w:r>
    </w:p>
    <w:p>
      <w:pPr>
        <w:pStyle w:val="ListBullet"/>
      </w:pPr>
      <w:r>
        <w:rPr>
          <w:rFonts w:ascii="Aptos" w:hAnsi="Aptos"/>
          <w:color w:val="24323D"/>
        </w:rPr>
        <w:t>codécision dans les grandes entreprises ;</w:t>
      </w:r>
    </w:p>
    <w:p>
      <w:pPr>
        <w:pStyle w:val="ListBullet"/>
      </w:pPr>
      <w:r>
        <w:rPr>
          <w:rFonts w:ascii="Aptos" w:hAnsi="Aptos"/>
          <w:color w:val="24323D"/>
        </w:rPr>
        <w:t>banques publiques et coopératives ;</w:t>
      </w:r>
    </w:p>
    <w:p>
      <w:pPr>
        <w:pStyle w:val="ListBullet"/>
      </w:pPr>
      <w:r>
        <w:rPr>
          <w:rFonts w:ascii="Aptos" w:hAnsi="Aptos"/>
          <w:color w:val="24323D"/>
        </w:rPr>
        <w:t>registre des mouvements de capitaux, mécanisme de moratoire et chambre de restructuration des dettes ;</w:t>
      </w:r>
    </w:p>
    <w:p>
      <w:pPr>
        <w:pStyle w:val="ListBullet"/>
      </w:pPr>
      <w:r>
        <w:rPr>
          <w:rFonts w:ascii="Aptos" w:hAnsi="Aptos"/>
          <w:color w:val="24323D"/>
        </w:rPr>
        <w:t>socialisation progressive de l’énergie, du foncier stratégique et des infrastructures ;</w:t>
      </w:r>
    </w:p>
    <w:p>
      <w:pPr>
        <w:pStyle w:val="ListBullet"/>
      </w:pPr>
      <w:r>
        <w:rPr>
          <w:rFonts w:ascii="Aptos" w:hAnsi="Aptos"/>
          <w:color w:val="24323D"/>
        </w:rPr>
        <w:t>droit de reprise anticipée des entreprises abandonnées et licences obligatoires pour productions vitales ;</w:t>
      </w:r>
    </w:p>
    <w:p>
      <w:pPr>
        <w:pStyle w:val="ListBullet"/>
      </w:pPr>
      <w:r>
        <w:rPr>
          <w:rFonts w:ascii="Aptos" w:hAnsi="Aptos"/>
          <w:color w:val="24323D"/>
        </w:rPr>
        <w:t>conventions citoyennes permanentes et référendum suspensif ;</w:t>
      </w:r>
    </w:p>
    <w:p>
      <w:pPr>
        <w:pStyle w:val="ListBullet"/>
      </w:pPr>
      <w:r>
        <w:rPr>
          <w:rFonts w:ascii="Aptos" w:hAnsi="Aptos"/>
          <w:color w:val="24323D"/>
        </w:rPr>
        <w:t>alliances fiscales et climatiques entre territoires volontaires.</w:t>
      </w:r>
    </w:p>
    <w:p>
      <w:pPr>
        <w:pStyle w:val="Heading2"/>
      </w:pPr>
      <w:r>
        <w:t>Phase 2 — Fédéralisation régionale</w:t>
      </w:r>
    </w:p>
    <w:p>
      <w:pPr>
        <w:pStyle w:val="ListBullet"/>
      </w:pPr>
      <w:r>
        <w:rPr>
          <w:rFonts w:ascii="Aptos" w:hAnsi="Aptos"/>
          <w:color w:val="24323D"/>
        </w:rPr>
        <w:t>transformation des États en fédérations subsidiaires ;</w:t>
      </w:r>
    </w:p>
    <w:p>
      <w:pPr>
        <w:pStyle w:val="ListBullet"/>
      </w:pPr>
      <w:r>
        <w:rPr>
          <w:rFonts w:ascii="Aptos" w:hAnsi="Aptos"/>
          <w:color w:val="24323D"/>
        </w:rPr>
        <w:t>constitution des biorégions et chambres territoriales ;</w:t>
      </w:r>
    </w:p>
    <w:p>
      <w:pPr>
        <w:pStyle w:val="ListBullet"/>
      </w:pPr>
      <w:r>
        <w:rPr>
          <w:rFonts w:ascii="Aptos" w:hAnsi="Aptos"/>
          <w:color w:val="24323D"/>
        </w:rPr>
        <w:t>transfert des grands réseaux à des communs multi-acteurs ;</w:t>
      </w:r>
    </w:p>
    <w:p>
      <w:pPr>
        <w:pStyle w:val="ListBullet"/>
      </w:pPr>
      <w:r>
        <w:rPr>
          <w:rFonts w:ascii="Aptos" w:hAnsi="Aptos"/>
          <w:color w:val="24323D"/>
        </w:rPr>
        <w:t>harmonisation ascendante des droits sociaux et écologiques ;</w:t>
      </w:r>
    </w:p>
    <w:p>
      <w:pPr>
        <w:pStyle w:val="ListBullet"/>
      </w:pPr>
      <w:r>
        <w:rPr>
          <w:rFonts w:ascii="Aptos" w:hAnsi="Aptos"/>
          <w:color w:val="24323D"/>
        </w:rPr>
        <w:t>mécanismes de péréquation automatiques.</w:t>
      </w:r>
    </w:p>
    <w:p>
      <w:pPr>
        <w:pStyle w:val="Heading2"/>
      </w:pPr>
      <w:r>
        <w:t>Phase 3 — Confédération planétaire</w:t>
      </w:r>
    </w:p>
    <w:p>
      <w:pPr>
        <w:pStyle w:val="ListBullet"/>
      </w:pPr>
      <w:r>
        <w:rPr>
          <w:rFonts w:ascii="Aptos" w:hAnsi="Aptos"/>
          <w:color w:val="24323D"/>
        </w:rPr>
        <w:t>assemblée constituante mondiale issue à la fois du suffrage, des territoires et du tirage au sort ;</w:t>
      </w:r>
    </w:p>
    <w:p>
      <w:pPr>
        <w:pStyle w:val="ListBullet"/>
      </w:pPr>
      <w:r>
        <w:rPr>
          <w:rFonts w:ascii="Aptos" w:hAnsi="Aptos"/>
          <w:color w:val="24323D"/>
        </w:rPr>
        <w:t>chambre de compensation et fiscalité transnationale ;</w:t>
      </w:r>
    </w:p>
    <w:p>
      <w:pPr>
        <w:pStyle w:val="ListBullet"/>
      </w:pPr>
      <w:r>
        <w:rPr>
          <w:rFonts w:ascii="Aptos" w:hAnsi="Aptos"/>
          <w:color w:val="24323D"/>
        </w:rPr>
        <w:t>budget écologique mondial et fonds de convergence ;</w:t>
      </w:r>
    </w:p>
    <w:p>
      <w:pPr>
        <w:pStyle w:val="ListBullet"/>
      </w:pPr>
      <w:r>
        <w:rPr>
          <w:rFonts w:ascii="Aptos" w:hAnsi="Aptos"/>
          <w:color w:val="24323D"/>
        </w:rPr>
        <w:t>statut universel de la personne ;</w:t>
      </w:r>
    </w:p>
    <w:p>
      <w:pPr>
        <w:pStyle w:val="ListBullet"/>
      </w:pPr>
      <w:r>
        <w:rPr>
          <w:rFonts w:ascii="Aptos" w:hAnsi="Aptos"/>
          <w:color w:val="24323D"/>
        </w:rPr>
        <w:t>désarmement séquencé, vérifiable et symétrique ;</w:t>
      </w:r>
    </w:p>
    <w:p>
      <w:pPr>
        <w:pStyle w:val="ListBullet"/>
      </w:pPr>
      <w:r>
        <w:rPr>
          <w:rFonts w:ascii="Aptos" w:hAnsi="Aptos"/>
          <w:color w:val="24323D"/>
        </w:rPr>
        <w:t>juridiction planétaire aux compétences énumérées.</w:t>
      </w:r>
    </w:p>
    <w:p>
      <w:pPr>
        <w:pStyle w:val="Heading2"/>
      </w:pPr>
      <w:r>
        <w:t>Phase 4 — Réobservation et correction</w:t>
      </w:r>
    </w:p>
    <w:p>
      <w:r>
        <w:rPr>
          <w:rFonts w:ascii="Aptos" w:hAnsi="Aptos"/>
          <w:color w:val="24323D"/>
        </w:rPr>
        <w:t>Après chaque transfert de compétence, vérifier : capacités réellement retirées aux oligopoles, capacités acquises par les populations, coûts cachés, groupes exclus, nouveaux centres, possibilité de sortie, dommages irréversibles et canaux de restauration.</w:t>
      </w:r>
    </w:p>
    <w:p>
      <w:r>
        <w:rPr>
          <w:rFonts w:ascii="Aptos" w:hAnsi="Aptos"/>
          <w:color w:val="24323D"/>
        </w:rPr>
        <w:t>En cas d’échec, le retour vise d’abord la continuité du service et des droits. Il ne restitue jamais automatiquement propriété, données, rente ou veto aux anciens détenteurs : une autre forme publique, coopérative, commune ou marchande bornée est choisie après examen.</w:t>
      </w:r>
    </w:p>
    <w:p>
      <w:r>
        <w:rPr>
          <w:rFonts w:ascii="Aptos" w:hAnsi="Aptos"/>
          <w:color w:val="24323D"/>
        </w:rPr>
        <w:t>Des mesures temporaires de protection — contrôle des capitaux, continuité obligatoire d’un service vital, réquisition indemnisée, moratoire de dette — exigent durée, contrôle juridictionnel, porteurs de pertes identifiés et voie de réparation. Leur caractère transitoire est testé dans les faits.</w:t>
      </w:r>
    </w:p>
    <w:p>
      <w:pPr>
        <w:pStyle w:val="Heading2"/>
      </w:pPr>
      <w:r>
        <w:t>Ce que les essais ont déjà changé</w:t>
      </w:r>
    </w:p>
    <w:p>
      <w:r>
        <w:rPr>
          <w:rFonts w:ascii="Aptos" w:hAnsi="Aptos"/>
          <w:color w:val="24323D"/>
        </w:rPr>
        <w:t>Les essais synthétiques ont révélé que des protections solides isolément peuvent échouer ensemble lorsqu’elles partagent les mêmes réseaux, experts, clés, fournisseurs ou réserves. Ils ont aussi conservé trois erreurs de méthode : un avantage initial indu, des tirages non appariés et une mesure d’empreinte erronée. Les mécanismes retenus en portent la trace : voies hors ligne pour les droits vitaux, règle publique de pénurie, registre des dépendances, budget de charge, extinction séparée des pouvoirs temporaires et test de polycrise.</w:t>
      </w:r>
    </w:p>
    <w:p>
      <w:r>
        <w:rPr>
          <w:rFonts w:ascii="Aptos" w:hAnsi="Aptos"/>
          <w:color w:val="24323D"/>
        </w:rPr>
        <w:t>Les prototypes exécutables ont confirmé une limite plus étroite : une règle ne rend pas une action possible, un gain matériel ne devient pas une capacité vérifiée sans attestation indépendante, et une réparation peut exiger plusieurs étapes. Une restauration séquencée concorde avec un oracle indépendant dans une abstraction finie ; elle ne crée ni les ressources, ni les témoins, ni les institutions réelles dont dépendrait son usage.</w:t>
      </w:r>
    </w:p>
    <w:p>
      <w:pPr>
        <w:pStyle w:val="Heading2"/>
      </w:pPr>
      <w:r>
        <w:t>Lignée exécutable de la restauration et de la continuité</w:t>
      </w:r>
    </w:p>
    <w:p>
      <w:r>
        <w:rPr>
          <w:rFonts w:ascii="Aptos" w:hAnsi="Aptos"/>
          <w:color w:val="24323D"/>
        </w:rPr>
        <w:t>CCT-EXEC 1.4 reste le gel vérifié de la restauration séquencée. Chaque dette conserve son échéance et ne se ferme qu'avec son reçu propre. Les couches suivantes restent candidates : 1.5 refuse la réutilisation visible d'une même collecte comme confirmation plurielle ; 1.6 protège chaque dette ouverte pendant l'attente de preuve ; 1.7 ajoute un pont de continuité à voies, contrôleurs, domaines de panne et recours distincts, sans clôturer la dette.</w:t>
      </w:r>
    </w:p>
    <w:p>
      <w:r>
        <w:rPr>
          <w:rFonts w:ascii="Aptos" w:hAnsi="Aptos"/>
          <w:color w:val="24323D"/>
        </w:rPr>
        <w:t>Les candidates 1.8 et 1.9 séparent ensuite déclaration, exercice local et soutien indépendant borné. La candidate 2.0 retire chaque voie à tour de rôle ; 2.1 exige la protection à chaque tick du basculement ; 2.2 perturbe ensemble les voies partageant une dépendance ; 2.3 exige la détectabilité de neuf classes minimales ; 2.4 compose des racines sous le seuil. La 2.5 confronte les 36 paires dans les deux ordres. La 2.6 ajoute un plan affine de 12 triples ; la 2.7 lui adjoint un second plan disjoint. Leurs 24 triples et 144 ordres donnent à chaque paire deux troisièmes contextes distincts.</w:t>
      </w:r>
    </w:p>
    <w:p>
      <w:r>
        <w:rPr>
          <w:rFonts w:ascii="Aptos" w:hAnsi="Aptos"/>
          <w:color w:val="24323D"/>
        </w:rPr>
        <w:t>La candidate 2.8 classe les paires par marge de protection, choisit six contextes supplémentaires selon les risques déclarés et engage le plan avant exercice. Ses six triples ajoutent 36 ordres. La candidate 2.9 exige pour chaque marge et risque au moins deux attestations antérieures, avec racines de source, contrôleurs et domaines de panne distincts, ainsi qu'une épreuve aveugle. Elle compile la marge minimale et le risque maximal. Elle refuse une marge sous 12 observations ou un risque sous 30 observations, hors de l'intervalle de 0 à 1 ou dont l'erreur de calibration dépasse 0,1.</w:t>
      </w:r>
    </w:p>
    <w:p>
      <w:r>
        <w:rPr>
          <w:rFonts w:ascii="Aptos" w:hAnsi="Aptos"/>
          <w:color w:val="24323D"/>
        </w:rPr>
        <w:t>La candidate 3.0 exige ensuite deux contextes synthétiques tenus à l'écart pour chaque signal, distincts des sources et l'un de l'autre. Après engagement du protocole, elle mesure directement la marge comme un écart de taux de protection et le risque comme une fréquence d'échec, avec au moins 100 observations par contexte. Elle refuse une erreur relative de marge supérieure à 20 %, une erreur absolue de risque supérieure à 0,1 ou toute divergence entre les six contextes sélectionnés depuis les sources et depuis les mesures cibles.</w:t>
      </w:r>
    </w:p>
    <w:p>
      <w:r>
        <w:rPr>
          <w:rFonts w:ascii="Aptos" w:hAnsi="Aptos"/>
          <w:color w:val="24323D"/>
        </w:rPr>
        <w:t>Les candidates 3.1 à 3.5 ajoutent l'incertitude simultanée, l'évaluation au niveau de grappes indépendantes et une lignée globale des unités, événements, générateurs et attestations. Elles refusent la pseudoréplication, les racines réutilisées entre contextes ou signaux et une concentration supérieure à 50 % sur un attestant ou un domaine de panne.</w:t>
      </w:r>
    </w:p>
    <w:p>
      <w:r>
        <w:rPr>
          <w:rFonts w:ascii="Aptos" w:hAnsi="Aptos"/>
          <w:color w:val="24323D"/>
        </w:rPr>
        <w:t>Les candidates 3.6 à 4.0 ajoutent 90 perturbations préengagées, recalculent 4 050 effets depuis des comptes avant et après, exigent une assignation bloquée avec attrition bornée, limitent l'exposition entre bras et dérivent 1 800 étiquettes de bras par rang SHA-256 dans 20 strates par sonde. Les candidates 4.1 et 4.2 contrôlent ensuite trois covariables prétraitement et 270 placebos antérieurs à l'intervention.</w:t>
      </w:r>
    </w:p>
    <w:p>
      <w:r>
        <w:rPr>
          <w:rFonts w:ascii="Aptos" w:hAnsi="Aptos"/>
          <w:color w:val="24323D"/>
        </w:rPr>
        <w:t>Les candidates 4.3 à 4.5 empêchent que l'agrégation ou une frontière unique masque un déséquilibre. Elles contrôlent trois groupes d'exposition, engagent 10 800 comptes placebo au niveau des grappes et réalisent 810 comparaisons distributives. Une grille de 15 groupes porte ensuite le total à 4 050 comparaisons simultanées et détecte les écarts placés juste sous le seuil initial.</w:t>
      </w:r>
    </w:p>
    <w:p>
      <w:r>
        <w:rPr>
          <w:rFonts w:ascii="Aptos" w:hAnsi="Aptos"/>
          <w:color w:val="24323D"/>
        </w:rPr>
        <w:t>Les candidates 4.6 à 4.8 balayent les seuils observés puis leurs paires et enferment cette recherche dans un registre préengagé de trois covariables avec un budget explicite. Les candidates 4.9 et 5.0 n'admettent une variable nouvelle que pour une campagne future, après définition, prédiction, engagement antérieur et gain hors échantillon suffisamment précis.</w:t>
      </w:r>
    </w:p>
    <w:p>
      <w:r>
        <w:rPr>
          <w:rFonts w:ascii="Aptos" w:hAnsi="Aptos"/>
          <w:color w:val="24323D"/>
        </w:rPr>
        <w:t>Les candidates 5.1 à 5.4 empêchent qu'un gain global masque une perte sur un axe de dette ou leur intersection. Elles exigent deux canaux indépendants pour l'appartenance aux axes, puis une calibration contre des cas de référence aveugles positifs et négatifs. La 5.5 limite le transport aux contextes cibles effectivement réobservés. Les candidates 5.6 à 6.2 gouvernent l'indépendance, la garde, l'inclusion et la cohérence générale du journal, avec une seconde implémentation Python bornée. Les candidates 6.3 à 6.5 refusent le rejeu d'une ancienne tête, confrontent les pins d'observateurs distincts et exigent un quorum de trois signatures sur quatre. La 6.6 impose un quorum ancien, un quorum nouveau et deux signataires communs à toute rotation. La 6.7 exige une sélection séparée avec mandat expirant ; la 6.8 limite la révocation automatique à l'équivoque cryptographiquement prouvée. Les candidates 6.9 à 8.9 gouvernent la suspension, la réparation et la contestation des dépendances, remontent les lignées d'influence, exigent un effet décisionnel sous retrait apparié, auditent l'équivalence des placebos, refusent les influences communes transitives, admettent une arête omise seulement pour une campagne future, exigent son report dans le manifeste scellé puis deux reçus de runtime indépendants attestant qu'elle a effectivement été consommée. Les 9.0 à 9.6 contrôlent ensuite branches, enveloppes, jetons et puits d'effet, puis aveuglent et entrelacent les sondes pour rendre visible une application réservée au test ou une évasion tardive. Les 9.7 à 10.35 préengagent les campagnes et recherches, lient les preuves par contenu, confrontent les centres effectifs, réobservent le retrait et imposent des histoires monotones de propriété et d'autorité avec rotations cosignées sans réactivation.</w:t>
      </w:r>
    </w:p>
    <w:p>
      <w:r>
        <w:rPr>
          <w:rFonts w:ascii="Aptos" w:hAnsi="Aptos"/>
          <w:color w:val="24323D"/>
        </w:rPr>
        <w:t>Ces mécanismes changent des décisions dans les scénarios locaux et possèdent des conditions de renversement exécutables. Ils sont écrits et testés ; ils ne sont ni promus dans le gel 1.4, ni autorisés, ni déployés, ni réobservés indépendamment. Les essais 2.1 à 10.35 restent synthétiques et bornés : la charge réelle, l'exhaustivité des interactions, branches, puits, groupes et seuils, la randomisation réelle, l'indépendance d'organisations réelles, un journal et des observateurs externes, la durabilité des pins, la visibilité complète en partition, la légitimité des registres, le recours utilisable, l'horodatage opposable, la justice des compensations, la validité des construits, les empreintes latentes et l'adaptation entre campagnes restent à observer.</w:t>
      </w:r>
    </w:p>
    <w:p>
      <w:pPr>
        <w:pStyle w:val="Heading1"/>
      </w:pPr>
      <w:r>
        <w:t>18. Tests de résistance</w:t>
      </w:r>
    </w:p>
    <w:p>
      <w:r>
        <w:rPr>
          <w:rFonts w:ascii="Aptos" w:hAnsi="Aptos"/>
          <w:color w:val="24323D"/>
        </w:rPr>
        <w:t>Les scénarios détaillés des sept cycles adversariaux complètent les tests synthétiques ci-dessous. Ils deviennent un corpus de régression : une réforme qui réintroduit une paralysie généralisée, un monopole administratif, une planification mensongère, une sortie forcée, un commandement sans démobilisation, une transition sans capacité ou une complexité sans porte d’entrée doit être justifiée comme une nouvelle version, non présentée comme neutre.</w:t>
      </w:r>
    </w:p>
    <w:p>
      <w:pPr>
        <w:pStyle w:val="Heading2"/>
      </w:pPr>
      <w:r>
        <w:t>18.1 Une région riche refuse la solidarité</w:t>
      </w:r>
    </w:p>
    <w:p>
      <w:r>
        <w:rPr>
          <w:rFonts w:ascii="Aptos" w:hAnsi="Aptos"/>
          <w:color w:val="24323D"/>
        </w:rPr>
        <w:t>Elle conserve son autonomie culturelle et administrative mais ne peut se soustraire aux contributions liées aux externalités, avantages systémiques et garanties communes. Le conflit passe par médiation, justice, puis sanctions proportionnées sur les flux non vitaux. Les droits de sa population ne sont pas pris en otage.</w:t>
      </w:r>
    </w:p>
    <w:p>
      <w:pPr>
        <w:pStyle w:val="Heading2"/>
      </w:pPr>
      <w:r>
        <w:t>18.2 Une majorité locale opprime une minorité</w:t>
      </w:r>
    </w:p>
    <w:p>
      <w:r>
        <w:rPr>
          <w:rFonts w:ascii="Aptos" w:hAnsi="Aptos"/>
          <w:color w:val="24323D"/>
        </w:rPr>
        <w:t>Les droits fondamentaux prévalent. La minorité peut saisir directement les juridictions supérieures et recevoir protection et financement. La subsidiarité ne protège pas la domination locale.</w:t>
      </w:r>
    </w:p>
    <w:p>
      <w:pPr>
        <w:pStyle w:val="Heading2"/>
      </w:pPr>
      <w:r>
        <w:t>18.3 La planification produit pénurie et marché noir</w:t>
      </w:r>
    </w:p>
    <w:p>
      <w:r>
        <w:rPr>
          <w:rFonts w:ascii="Aptos" w:hAnsi="Aptos"/>
          <w:color w:val="24323D"/>
        </w:rPr>
        <w:t>Les besoins vitaux sont sécurisés en priorité ; les données et règles d’allocation sont publiées ; une commission pluraliste recherche erreur de prévision, prix irréaliste, rente de rareté ou sabotage. Les mécanismes locaux sont assouplis si cela respecte le plafond écologique et l’égalité d’accès.</w:t>
      </w:r>
    </w:p>
    <w:p>
      <w:pPr>
        <w:pStyle w:val="Heading2"/>
      </w:pPr>
      <w:r>
        <w:t>18.4 Une bureaucratie verte monopolise l’expertise</w:t>
      </w:r>
    </w:p>
    <w:p>
      <w:r>
        <w:rPr>
          <w:rFonts w:ascii="Aptos" w:hAnsi="Aptos"/>
          <w:color w:val="24323D"/>
        </w:rPr>
        <w:t>Les modèles sont ouverts, les scénarios concurrents financés et les mandats rotatifs. L’autorité scientifique expose les contraintes et incertitudes ; elle ne choisit pas seule les fins sociales. Un jury citoyen peut imposer une contre-enquête.</w:t>
      </w:r>
    </w:p>
    <w:p>
      <w:pPr>
        <w:pStyle w:val="Heading2"/>
      </w:pPr>
      <w:r>
        <w:t>18.5 Une urgence climatique exige une décision rapide</w:t>
      </w:r>
    </w:p>
    <w:p>
      <w:r>
        <w:rPr>
          <w:rFonts w:ascii="Aptos" w:hAnsi="Aptos"/>
          <w:color w:val="24323D"/>
        </w:rPr>
        <w:t>Un exécutif peut prendre des mesures conservatoires courtes et réversibles. Toute transformation durable, confiscation ou restriction majeure requiert validation rapide par les autres collèges et recours juridictionnel.</w:t>
      </w:r>
    </w:p>
    <w:p>
      <w:pPr>
        <w:pStyle w:val="Heading2"/>
      </w:pPr>
      <w:r>
        <w:t>18.6 Une plateforme coopérative devient indispensable</w:t>
      </w:r>
    </w:p>
    <w:p>
      <w:r>
        <w:rPr>
          <w:rFonts w:ascii="Aptos" w:hAnsi="Aptos"/>
          <w:color w:val="24323D"/>
        </w:rPr>
        <w:t>Son statut coopératif ne suffit pas. Interopérabilité, portabilité, séparation des fonctions, droit d’accès minimal et possibilité de reprise publique s’appliquent dès qu’elle acquiert un pouvoir d’infrastructure.</w:t>
      </w:r>
    </w:p>
    <w:p>
      <w:pPr>
        <w:pStyle w:val="Heading2"/>
      </w:pPr>
      <w:r>
        <w:t>18.7 Une contre-révolution électorale arrive au pouvoir</w:t>
      </w:r>
    </w:p>
    <w:p>
      <w:r>
        <w:rPr>
          <w:rFonts w:ascii="Aptos" w:hAnsi="Aptos"/>
          <w:color w:val="24323D"/>
        </w:rPr>
        <w:t>Elle peut modifier les politiques ordinaires mais non abolir seule droits, pluralisme, élections, autonomie territoriale et limites de mandat. Les institutions de sécurité ne sont contrôlées par aucun exécutif unique. Les forces sociales conservent organisation, information, financement et recours.</w:t>
      </w:r>
    </w:p>
    <w:p>
      <w:pPr>
        <w:pStyle w:val="Heading2"/>
      </w:pPr>
      <w:r>
        <w:t>18.8 La transition écologique frappe surtout les pauvres</w:t>
      </w:r>
    </w:p>
    <w:p>
      <w:r>
        <w:rPr>
          <w:rFonts w:ascii="Aptos" w:hAnsi="Aptos"/>
          <w:color w:val="24323D"/>
        </w:rPr>
        <w:t>Toute mesure est accompagnée d’un bilan par niveau de revenu, genre, territoire, statut migratoire et type de travail. Les alternatives accessibles précèdent les interdictions lorsque le délai écologique le permet. La redistribution compense en capacité d’usage, pas seulement en argent.</w:t>
      </w:r>
    </w:p>
    <w:p>
      <w:pPr>
        <w:pStyle w:val="Heading1"/>
      </w:pPr>
      <w:r>
        <w:t>19. Tableau de bord minimal</w:t>
      </w:r>
    </w:p>
    <w:p>
      <w:r>
        <w:rPr>
          <w:rFonts w:ascii="Aptos" w:hAnsi="Aptos"/>
          <w:color w:val="24323D"/>
        </w:rPr>
        <w:t>Le système est évalué par tendances et distributions, jamais par une note souveraine.</w:t>
      </w:r>
    </w:p>
    <w:p>
      <w:pPr>
        <w:pStyle w:val="Heading2"/>
      </w:pPr>
      <w:r>
        <w:t>Pouvoir</w:t>
      </w:r>
    </w:p>
    <w:p>
      <w:pPr>
        <w:pStyle w:val="ListBullet"/>
      </w:pPr>
      <w:r>
        <w:rPr>
          <w:rFonts w:ascii="Aptos" w:hAnsi="Aptos"/>
          <w:color w:val="24323D"/>
        </w:rPr>
        <w:t>concentration de propriété, crédit, médias et infrastructures ;</w:t>
      </w:r>
    </w:p>
    <w:p>
      <w:pPr>
        <w:pStyle w:val="ListBullet"/>
      </w:pPr>
      <w:r>
        <w:rPr>
          <w:rFonts w:ascii="Aptos" w:hAnsi="Aptos"/>
          <w:color w:val="24323D"/>
        </w:rPr>
        <w:t>part de la population pouvant effectivement saisir, contester et faire suspendre une décision ;</w:t>
      </w:r>
    </w:p>
    <w:p>
      <w:pPr>
        <w:pStyle w:val="ListBullet"/>
      </w:pPr>
      <w:r>
        <w:rPr>
          <w:rFonts w:ascii="Aptos" w:hAnsi="Aptos"/>
          <w:color w:val="24323D"/>
        </w:rPr>
        <w:t>rotation des charges et origine sociale des mandataires ;</w:t>
      </w:r>
    </w:p>
    <w:p>
      <w:pPr>
        <w:pStyle w:val="ListBullet"/>
      </w:pPr>
      <w:r>
        <w:rPr>
          <w:rFonts w:ascii="Aptos" w:hAnsi="Aptos"/>
          <w:color w:val="24323D"/>
        </w:rPr>
        <w:t>délai et coût d’un recours ;</w:t>
      </w:r>
    </w:p>
    <w:p>
      <w:pPr>
        <w:pStyle w:val="ListBullet"/>
      </w:pPr>
      <w:r>
        <w:rPr>
          <w:rFonts w:ascii="Aptos" w:hAnsi="Aptos"/>
          <w:color w:val="24323D"/>
        </w:rPr>
        <w:t>décisions annulées ou corrigées après contestation.</w:t>
      </w:r>
    </w:p>
    <w:p>
      <w:pPr>
        <w:pStyle w:val="Heading2"/>
      </w:pPr>
      <w:r>
        <w:t>Égalité matérielle</w:t>
      </w:r>
    </w:p>
    <w:p>
      <w:pPr>
        <w:pStyle w:val="ListBullet"/>
      </w:pPr>
      <w:r>
        <w:rPr>
          <w:rFonts w:ascii="Aptos" w:hAnsi="Aptos"/>
          <w:color w:val="24323D"/>
        </w:rPr>
        <w:t>accès effectif aux services fondamentaux ;</w:t>
      </w:r>
    </w:p>
    <w:p>
      <w:pPr>
        <w:pStyle w:val="ListBullet"/>
      </w:pPr>
      <w:r>
        <w:rPr>
          <w:rFonts w:ascii="Aptos" w:hAnsi="Aptos"/>
          <w:color w:val="24323D"/>
        </w:rPr>
        <w:t>écarts de patrimoine, temps libre, santé et exposition au risque ;</w:t>
      </w:r>
    </w:p>
    <w:p>
      <w:pPr>
        <w:pStyle w:val="ListBullet"/>
      </w:pPr>
      <w:r>
        <w:rPr>
          <w:rFonts w:ascii="Aptos" w:hAnsi="Aptos"/>
          <w:color w:val="24323D"/>
        </w:rPr>
        <w:t>travail non rémunéré et charge de soin ;</w:t>
      </w:r>
    </w:p>
    <w:p>
      <w:pPr>
        <w:pStyle w:val="ListBullet"/>
      </w:pPr>
      <w:r>
        <w:rPr>
          <w:rFonts w:ascii="Aptos" w:hAnsi="Aptos"/>
          <w:color w:val="24323D"/>
        </w:rPr>
        <w:t>sécurité économique pendant les transitions.</w:t>
      </w:r>
    </w:p>
    <w:p>
      <w:pPr>
        <w:pStyle w:val="Heading2"/>
      </w:pPr>
      <w:r>
        <w:t>Écologie</w:t>
      </w:r>
    </w:p>
    <w:p>
      <w:pPr>
        <w:pStyle w:val="ListBullet"/>
      </w:pPr>
      <w:r>
        <w:rPr>
          <w:rFonts w:ascii="Aptos" w:hAnsi="Aptos"/>
          <w:color w:val="24323D"/>
        </w:rPr>
        <w:t>flux physiques territoriaux et empreinte importée ;</w:t>
      </w:r>
    </w:p>
    <w:p>
      <w:pPr>
        <w:pStyle w:val="ListBullet"/>
      </w:pPr>
      <w:r>
        <w:rPr>
          <w:rFonts w:ascii="Aptos" w:hAnsi="Aptos"/>
          <w:color w:val="24323D"/>
        </w:rPr>
        <w:t>état des écosystèmes et résilience ;</w:t>
      </w:r>
    </w:p>
    <w:p>
      <w:pPr>
        <w:pStyle w:val="ListBullet"/>
      </w:pPr>
      <w:r>
        <w:rPr>
          <w:rFonts w:ascii="Aptos" w:hAnsi="Aptos"/>
          <w:color w:val="24323D"/>
        </w:rPr>
        <w:t>part des ressources réparées, réemployées et recyclées ;</w:t>
      </w:r>
    </w:p>
    <w:p>
      <w:pPr>
        <w:pStyle w:val="ListBullet"/>
      </w:pPr>
      <w:r>
        <w:rPr>
          <w:rFonts w:ascii="Aptos" w:hAnsi="Aptos"/>
          <w:color w:val="24323D"/>
        </w:rPr>
        <w:t>distribution sociale des usages et nuisances.</w:t>
      </w:r>
    </w:p>
    <w:p>
      <w:pPr>
        <w:pStyle w:val="Heading2"/>
      </w:pPr>
      <w:r>
        <w:t>Démocratie</w:t>
      </w:r>
    </w:p>
    <w:p>
      <w:pPr>
        <w:pStyle w:val="ListBullet"/>
      </w:pPr>
      <w:r>
        <w:rPr>
          <w:rFonts w:ascii="Aptos" w:hAnsi="Aptos"/>
          <w:color w:val="24323D"/>
        </w:rPr>
        <w:t>participation diversifiée, influence démontrable et taux de mise en œuvre ;</w:t>
      </w:r>
    </w:p>
    <w:p>
      <w:pPr>
        <w:pStyle w:val="ListBullet"/>
      </w:pPr>
      <w:r>
        <w:rPr>
          <w:rFonts w:ascii="Aptos" w:hAnsi="Aptos"/>
          <w:color w:val="24323D"/>
        </w:rPr>
        <w:t>pluralité des sources d’information ;</w:t>
      </w:r>
    </w:p>
    <w:p>
      <w:pPr>
        <w:pStyle w:val="ListBullet"/>
      </w:pPr>
      <w:r>
        <w:rPr>
          <w:rFonts w:ascii="Aptos" w:hAnsi="Aptos"/>
          <w:color w:val="24323D"/>
        </w:rPr>
        <w:t>accès à la contre-expertise ;</w:t>
      </w:r>
    </w:p>
    <w:p>
      <w:pPr>
        <w:pStyle w:val="ListBullet"/>
      </w:pPr>
      <w:r>
        <w:rPr>
          <w:rFonts w:ascii="Aptos" w:hAnsi="Aptos"/>
          <w:color w:val="24323D"/>
        </w:rPr>
        <w:t>usage, délai et résultat des mécanismes de révocation et d’initiative.</w:t>
      </w:r>
    </w:p>
    <w:p>
      <w:pPr>
        <w:pStyle w:val="ListBullet"/>
      </w:pPr>
      <w:r>
        <w:rPr>
          <w:rFonts w:ascii="Aptos" w:hAnsi="Aptos"/>
          <w:color w:val="24323D"/>
        </w:rPr>
        <w:t>temps administratif, charge de preuve et nombre d’interlocuteurs imposés aux personnes ;</w:t>
      </w:r>
    </w:p>
    <w:p>
      <w:pPr>
        <w:pStyle w:val="ListBullet"/>
      </w:pPr>
      <w:r>
        <w:rPr>
          <w:rFonts w:ascii="Aptos" w:hAnsi="Aptos"/>
          <w:color w:val="24323D"/>
        </w:rPr>
        <w:t>décisions dont le responsable, l’exécutant ou la voie d’arrêt reste inconnu du public.</w:t>
      </w:r>
    </w:p>
    <w:p>
      <w:pPr>
        <w:pStyle w:val="Heading2"/>
      </w:pPr>
      <w:r>
        <w:t>Résilience et continuité</w:t>
      </w:r>
    </w:p>
    <w:p>
      <w:pPr>
        <w:pStyle w:val="ListBullet"/>
      </w:pPr>
      <w:r>
        <w:rPr>
          <w:rFonts w:ascii="Aptos" w:hAnsi="Aptos"/>
          <w:color w:val="24323D"/>
        </w:rPr>
        <w:t>durée des stocks et existence de fournisseurs ou procédés substituables ;</w:t>
      </w:r>
    </w:p>
    <w:p>
      <w:pPr>
        <w:pStyle w:val="ListBullet"/>
      </w:pPr>
      <w:r>
        <w:rPr>
          <w:rFonts w:ascii="Aptos" w:hAnsi="Aptos"/>
          <w:color w:val="24323D"/>
        </w:rPr>
        <w:t>temps de restauration des paiements, soins, énergie et communications ;</w:t>
      </w:r>
    </w:p>
    <w:p>
      <w:pPr>
        <w:pStyle w:val="ListBullet"/>
      </w:pPr>
      <w:r>
        <w:rPr>
          <w:rFonts w:ascii="Aptos" w:hAnsi="Aptos"/>
          <w:color w:val="24323D"/>
        </w:rPr>
        <w:t>pénuries, files, substitutions forcées et travail invisible compensatoire ;</w:t>
      </w:r>
    </w:p>
    <w:p>
      <w:pPr>
        <w:pStyle w:val="ListBullet"/>
      </w:pPr>
      <w:r>
        <w:rPr>
          <w:rFonts w:ascii="Aptos" w:hAnsi="Aptos"/>
          <w:color w:val="24323D"/>
        </w:rPr>
        <w:t>pouvoirs d’urgence effectivement rendus et capacités coercitives démobilisées ;</w:t>
      </w:r>
    </w:p>
    <w:p>
      <w:pPr>
        <w:pStyle w:val="ListBullet"/>
      </w:pPr>
      <w:r>
        <w:rPr>
          <w:rFonts w:ascii="Aptos" w:hAnsi="Aptos"/>
          <w:color w:val="24323D"/>
        </w:rPr>
        <w:t>dépendance d’un service vital à un fournisseur, métier, territoire ou système unique.</w:t>
      </w:r>
    </w:p>
    <w:p>
      <w:pPr>
        <w:pStyle w:val="Heading2"/>
      </w:pPr>
      <w:r>
        <w:t>Réparation</w:t>
      </w:r>
    </w:p>
    <w:p>
      <w:pPr>
        <w:pStyle w:val="ListBullet"/>
      </w:pPr>
      <w:r>
        <w:rPr>
          <w:rFonts w:ascii="Aptos" w:hAnsi="Aptos"/>
          <w:color w:val="24323D"/>
        </w:rPr>
        <w:t>capacité d’usage retrouvée ;</w:t>
      </w:r>
    </w:p>
    <w:p>
      <w:pPr>
        <w:pStyle w:val="ListBullet"/>
      </w:pPr>
      <w:r>
        <w:rPr>
          <w:rFonts w:ascii="Aptos" w:hAnsi="Aptos"/>
          <w:color w:val="24323D"/>
        </w:rPr>
        <w:t>récidive du dommage ;</w:t>
      </w:r>
    </w:p>
    <w:p>
      <w:pPr>
        <w:pStyle w:val="ListBullet"/>
      </w:pPr>
      <w:r>
        <w:rPr>
          <w:rFonts w:ascii="Aptos" w:hAnsi="Aptos"/>
          <w:color w:val="24323D"/>
        </w:rPr>
        <w:t>transfert effectif vers les porteurs de pertes ;</w:t>
      </w:r>
    </w:p>
    <w:p>
      <w:pPr>
        <w:pStyle w:val="ListBullet"/>
      </w:pPr>
      <w:r>
        <w:rPr>
          <w:rFonts w:ascii="Aptos" w:hAnsi="Aptos"/>
          <w:color w:val="24323D"/>
        </w:rPr>
        <w:t>pertes irréparables reconnues ;</w:t>
      </w:r>
    </w:p>
    <w:p>
      <w:pPr>
        <w:pStyle w:val="ListBullet"/>
      </w:pPr>
      <w:r>
        <w:rPr>
          <w:rFonts w:ascii="Aptos" w:hAnsi="Aptos"/>
          <w:color w:val="24323D"/>
        </w:rPr>
        <w:t>satisfaction procédurale distincte de la clôture administrative.</w:t>
      </w:r>
    </w:p>
    <w:p>
      <w:pPr>
        <w:pStyle w:val="Heading1"/>
      </w:pPr>
      <w:r>
        <w:t>20. Décisions politiques encore ouvertes</w:t>
      </w:r>
    </w:p>
    <w:p>
      <w:r>
        <w:rPr>
          <w:rFonts w:ascii="Aptos" w:hAnsi="Aptos"/>
          <w:color w:val="24323D"/>
        </w:rPr>
        <w:t>Le modèle ne doit pas résoudre sans débat les arbitrages suivants :</w:t>
      </w:r>
    </w:p>
    <w:p>
      <w:pPr>
        <w:pStyle w:val="ListNumber"/>
        <w:numPr>
          <w:ilvl w:val="0"/>
          <w:numId w:val="16"/>
        </w:numPr>
      </w:pPr>
      <w:r>
        <w:rPr>
          <w:rFonts w:ascii="Aptos" w:hAnsi="Aptos"/>
          <w:b/>
          <w:color w:val="24323D"/>
        </w:rPr>
        <w:t>Revenu social ou garantie d’emploi</w:t>
      </w:r>
      <w:r>
        <w:rPr>
          <w:rFonts w:ascii="Aptos" w:hAnsi="Aptos"/>
          <w:color w:val="24323D"/>
        </w:rPr>
        <w:t xml:space="preserve"> : le premier protège mieux le refus, la seconde organise plus directement les besoins collectifs. Une combinaison est proposée, mais son équilibre reste politique.</w:t>
      </w:r>
    </w:p>
    <w:p>
      <w:pPr>
        <w:pStyle w:val="ListNumber"/>
        <w:numPr>
          <w:ilvl w:val="0"/>
          <w:numId w:val="16"/>
        </w:numPr>
      </w:pPr>
      <w:r>
        <w:rPr>
          <w:rFonts w:ascii="Aptos" w:hAnsi="Aptos"/>
          <w:b/>
          <w:color w:val="24323D"/>
        </w:rPr>
        <w:t>Place exacte des marchés</w:t>
      </w:r>
      <w:r>
        <w:rPr>
          <w:rFonts w:ascii="Aptos" w:hAnsi="Aptos"/>
          <w:color w:val="24323D"/>
        </w:rPr>
        <w:t xml:space="preserve"> : la frontière entre expérimentation décentralisée et marchandisation doit varier selon secteur, dépendance et externalité.</w:t>
      </w:r>
    </w:p>
    <w:p>
      <w:pPr>
        <w:pStyle w:val="ListNumber"/>
        <w:numPr>
          <w:ilvl w:val="0"/>
          <w:numId w:val="16"/>
        </w:numPr>
      </w:pPr>
      <w:r>
        <w:rPr>
          <w:rFonts w:ascii="Aptos" w:hAnsi="Aptos"/>
          <w:b/>
          <w:color w:val="24323D"/>
        </w:rPr>
        <w:t>Degré de dégressivité territoriale</w:t>
      </w:r>
      <w:r>
        <w:rPr>
          <w:rFonts w:ascii="Aptos" w:hAnsi="Aptos"/>
          <w:color w:val="24323D"/>
        </w:rPr>
        <w:t xml:space="preserve"> : il faut empêcher simultanément la domination des régions peuplées et le veto permanent des petites unités.</w:t>
      </w:r>
    </w:p>
    <w:p>
      <w:pPr>
        <w:pStyle w:val="ListNumber"/>
        <w:numPr>
          <w:ilvl w:val="0"/>
          <w:numId w:val="16"/>
        </w:numPr>
      </w:pPr>
      <w:r>
        <w:rPr>
          <w:rFonts w:ascii="Aptos" w:hAnsi="Aptos"/>
          <w:b/>
          <w:color w:val="24323D"/>
        </w:rPr>
        <w:t>Droit de sécession</w:t>
      </w:r>
      <w:r>
        <w:rPr>
          <w:rFonts w:ascii="Aptos" w:hAnsi="Aptos"/>
          <w:color w:val="24323D"/>
        </w:rPr>
        <w:t xml:space="preserve"> : possible en principe, mais incompatible avec l’abandon unilatéral de dettes, minorités, infrastructures communes et obligations écologiques.</w:t>
      </w:r>
    </w:p>
    <w:p>
      <w:pPr>
        <w:pStyle w:val="ListNumber"/>
        <w:numPr>
          <w:ilvl w:val="0"/>
          <w:numId w:val="16"/>
        </w:numPr>
      </w:pPr>
      <w:r>
        <w:rPr>
          <w:rFonts w:ascii="Aptos" w:hAnsi="Aptos"/>
          <w:b/>
          <w:color w:val="24323D"/>
        </w:rPr>
        <w:t>Sanctions collectives</w:t>
      </w:r>
      <w:r>
        <w:rPr>
          <w:rFonts w:ascii="Aptos" w:hAnsi="Aptos"/>
          <w:color w:val="24323D"/>
        </w:rPr>
        <w:t xml:space="preserve"> : elles risquent de déplacer le coût vers les populations ; les sanctions ciblant capacités de décision, rentes et flux de luxe doivent être privilégiées.</w:t>
      </w:r>
    </w:p>
    <w:p>
      <w:pPr>
        <w:pStyle w:val="ListNumber"/>
        <w:numPr>
          <w:ilvl w:val="0"/>
          <w:numId w:val="16"/>
        </w:numPr>
      </w:pPr>
      <w:r>
        <w:rPr>
          <w:rFonts w:ascii="Aptos" w:hAnsi="Aptos"/>
          <w:b/>
          <w:color w:val="24323D"/>
        </w:rPr>
        <w:t>Usage légitime de la coercition</w:t>
      </w:r>
      <w:r>
        <w:rPr>
          <w:rFonts w:ascii="Aptos" w:hAnsi="Aptos"/>
          <w:color w:val="24323D"/>
        </w:rPr>
        <w:t xml:space="preserve"> : aucune société ne l’abolit par proclamation ; elle doit être réduite, distribuée, traçable, contestable et privée de reproduction autonome.</w:t>
      </w:r>
    </w:p>
    <w:p>
      <w:pPr>
        <w:pStyle w:val="ListNumber"/>
        <w:numPr>
          <w:ilvl w:val="0"/>
          <w:numId w:val="16"/>
        </w:numPr>
      </w:pPr>
      <w:r>
        <w:rPr>
          <w:rFonts w:ascii="Aptos" w:hAnsi="Aptos"/>
          <w:b/>
          <w:color w:val="24323D"/>
        </w:rPr>
        <w:t>Rythme de socialisation</w:t>
      </w:r>
      <w:r>
        <w:rPr>
          <w:rFonts w:ascii="Aptos" w:hAnsi="Aptos"/>
          <w:color w:val="24323D"/>
        </w:rPr>
        <w:t xml:space="preserve"> : trop lent, il laisse aux acteurs dominants le temps d’organiser la fuite ; trop rapide sans capacités alternatives, il peut désorganiser les besoins vitaux.</w:t>
      </w:r>
    </w:p>
    <w:p>
      <w:pPr>
        <w:pStyle w:val="ListNumber"/>
        <w:numPr>
          <w:ilvl w:val="0"/>
          <w:numId w:val="16"/>
        </w:numPr>
      </w:pPr>
      <w:r>
        <w:rPr>
          <w:rFonts w:ascii="Aptos" w:hAnsi="Aptos"/>
          <w:b/>
          <w:color w:val="24323D"/>
        </w:rPr>
        <w:t>Seuil d’activation des contrôles renforcés</w:t>
      </w:r>
      <w:r>
        <w:rPr>
          <w:rFonts w:ascii="Aptos" w:hAnsi="Aptos"/>
          <w:color w:val="24323D"/>
        </w:rPr>
        <w:t xml:space="preserve"> : trop bas, il reconstitue la paralysie ; trop haut, il laisse passer des décisions réellement irréversibles ou coercitives.</w:t>
      </w:r>
    </w:p>
    <w:p>
      <w:pPr>
        <w:pStyle w:val="ListNumber"/>
        <w:numPr>
          <w:ilvl w:val="0"/>
          <w:numId w:val="16"/>
        </w:numPr>
      </w:pPr>
      <w:r>
        <w:rPr>
          <w:rFonts w:ascii="Aptos" w:hAnsi="Aptos"/>
          <w:b/>
          <w:color w:val="24323D"/>
        </w:rPr>
        <w:t>Architecture de défense</w:t>
      </w:r>
      <w:r>
        <w:rPr>
          <w:rFonts w:ascii="Aptos" w:hAnsi="Aptos"/>
          <w:color w:val="24323D"/>
        </w:rPr>
        <w:t xml:space="preserve"> : la répartition exacte entre protection civile, forces régionales et capacités confédérales dépend des menaces, technologies et interdépendances observables.</w:t>
      </w:r>
    </w:p>
    <w:p>
      <w:pPr>
        <w:pStyle w:val="ListNumber"/>
        <w:numPr>
          <w:ilvl w:val="0"/>
          <w:numId w:val="16"/>
        </w:numPr>
      </w:pPr>
      <w:r>
        <w:rPr>
          <w:rFonts w:ascii="Aptos" w:hAnsi="Aptos"/>
          <w:b/>
          <w:color w:val="24323D"/>
        </w:rPr>
        <w:t>Degré de redondance</w:t>
      </w:r>
      <w:r>
        <w:rPr>
          <w:rFonts w:ascii="Aptos" w:hAnsi="Aptos"/>
          <w:color w:val="24323D"/>
        </w:rPr>
        <w:t xml:space="preserve"> : la résilience exige des capacités inutilisées en temps normal, mais leur coût matériel doit rester compatible avec les plafonds écologiques.</w:t>
      </w:r>
    </w:p>
    <w:p>
      <w:pPr>
        <w:pStyle w:val="Heading1"/>
      </w:pPr>
      <w:r>
        <w:t>21. Conditions d’échec du modèle</w:t>
      </w:r>
    </w:p>
    <w:p>
      <w:r>
        <w:rPr>
          <w:rFonts w:ascii="Aptos" w:hAnsi="Aptos"/>
          <w:color w:val="24323D"/>
        </w:rPr>
        <w:t>Il faudrait réviser profondément cette architecture si l’expérience montrait de manière robuste que :</w:t>
      </w:r>
    </w:p>
    <w:p>
      <w:pPr>
        <w:pStyle w:val="ListBullet"/>
      </w:pPr>
      <w:r>
        <w:rPr>
          <w:rFonts w:ascii="Aptos" w:hAnsi="Aptos"/>
          <w:color w:val="24323D"/>
        </w:rPr>
        <w:t>la pluralité des collèges produit systématiquement une paralysie face aux crises plutôt qu’un contrôle utile ;</w:t>
      </w:r>
    </w:p>
    <w:p>
      <w:pPr>
        <w:pStyle w:val="ListBullet"/>
      </w:pPr>
      <w:r>
        <w:rPr>
          <w:rFonts w:ascii="Aptos" w:hAnsi="Aptos"/>
          <w:color w:val="24323D"/>
        </w:rPr>
        <w:t>les communs fonctionnels se ferment durablement en corporations impossibles à démocratiser ;</w:t>
      </w:r>
    </w:p>
    <w:p>
      <w:pPr>
        <w:pStyle w:val="ListBullet"/>
      </w:pPr>
      <w:r>
        <w:rPr>
          <w:rFonts w:ascii="Aptos" w:hAnsi="Aptos"/>
          <w:color w:val="24323D"/>
        </w:rPr>
        <w:t>la subsidiarité permet une exportation massive des dommages malgré les recours ;</w:t>
      </w:r>
    </w:p>
    <w:p>
      <w:pPr>
        <w:pStyle w:val="ListBullet"/>
      </w:pPr>
      <w:r>
        <w:rPr>
          <w:rFonts w:ascii="Aptos" w:hAnsi="Aptos"/>
          <w:color w:val="24323D"/>
        </w:rPr>
        <w:t>la planification physique échoue dans des contextes variés à garantir les besoins mieux que des mécanismes alternatifs ;</w:t>
      </w:r>
    </w:p>
    <w:p>
      <w:pPr>
        <w:pStyle w:val="ListBullet"/>
      </w:pPr>
      <w:r>
        <w:rPr>
          <w:rFonts w:ascii="Aptos" w:hAnsi="Aptos"/>
          <w:color w:val="24323D"/>
        </w:rPr>
        <w:t>la confédération mondiale accumule des compétences et une force impossibles à révoquer ;</w:t>
      </w:r>
    </w:p>
    <w:p>
      <w:pPr>
        <w:pStyle w:val="ListBullet"/>
      </w:pPr>
      <w:r>
        <w:rPr>
          <w:rFonts w:ascii="Aptos" w:hAnsi="Aptos"/>
          <w:color w:val="24323D"/>
        </w:rPr>
        <w:t>la socialisation change les titres de propriété sans réduire rente, veto, héritage, monopole ni déplacement des coûts ;</w:t>
      </w:r>
    </w:p>
    <w:p>
      <w:pPr>
        <w:pStyle w:val="ListBullet"/>
      </w:pPr>
      <w:r>
        <w:rPr>
          <w:rFonts w:ascii="Aptos" w:hAnsi="Aptos"/>
          <w:color w:val="24323D"/>
        </w:rPr>
        <w:t>les mécanismes de participation restent captés par les personnes disposant déjà de temps, d’instruction et de sécurité ;</w:t>
      </w:r>
    </w:p>
    <w:p>
      <w:pPr>
        <w:pStyle w:val="ListBullet"/>
      </w:pPr>
      <w:r>
        <w:rPr>
          <w:rFonts w:ascii="Aptos" w:hAnsi="Aptos"/>
          <w:color w:val="24323D"/>
        </w:rPr>
        <w:t>l’administration contradictrice devient une seconde caste sans amélioration observable de la détection ou du recours ;</w:t>
      </w:r>
    </w:p>
    <w:p>
      <w:pPr>
        <w:pStyle w:val="ListBullet"/>
      </w:pPr>
      <w:r>
        <w:rPr>
          <w:rFonts w:ascii="Aptos" w:hAnsi="Aptos"/>
          <w:color w:val="24323D"/>
        </w:rPr>
        <w:t>les corridors de planification produisent durablement plus de privations ou de rente que des mécanismes rivaux sous les mêmes limites ;</w:t>
      </w:r>
    </w:p>
    <w:p>
      <w:pPr>
        <w:pStyle w:val="ListBullet"/>
      </w:pPr>
      <w:r>
        <w:rPr>
          <w:rFonts w:ascii="Aptos" w:hAnsi="Aptos"/>
          <w:color w:val="24323D"/>
        </w:rPr>
        <w:t>les droits portables ne permettent ni de rester protégé ni de sortir sans perte disproportionnée ;</w:t>
      </w:r>
    </w:p>
    <w:p>
      <w:pPr>
        <w:pStyle w:val="ListBullet"/>
      </w:pPr>
      <w:r>
        <w:rPr>
          <w:rFonts w:ascii="Aptos" w:hAnsi="Aptos"/>
          <w:color w:val="24323D"/>
        </w:rPr>
        <w:t>les commandements temporaires échappent régulièrement à la démobilisation ou au contrôle indépendant ;</w:t>
      </w:r>
    </w:p>
    <w:p>
      <w:pPr>
        <w:pStyle w:val="ListBullet"/>
      </w:pPr>
      <w:r>
        <w:rPr>
          <w:rFonts w:ascii="Aptos" w:hAnsi="Aptos"/>
          <w:color w:val="24323D"/>
        </w:rPr>
        <w:t>les portes de transition peuvent être bloquées indéfiniment par les acteurs qui perdraient leur pouvoir ;</w:t>
      </w:r>
    </w:p>
    <w:p>
      <w:pPr>
        <w:pStyle w:val="ListBullet"/>
      </w:pPr>
      <w:r>
        <w:rPr>
          <w:rFonts w:ascii="Aptos" w:hAnsi="Aptos"/>
          <w:color w:val="24323D"/>
        </w:rPr>
        <w:t>la complexité institutionnelle impose aux personnes une dépendance professionnelle supérieure aux capacités de contrôle qu’elle leur apporte.</w:t>
      </w:r>
    </w:p>
    <w:p>
      <w:r>
        <w:rPr>
          <w:rFonts w:ascii="Aptos" w:hAnsi="Aptos"/>
          <w:color w:val="24323D"/>
        </w:rPr>
        <w:t>Ces résultats ne justifieraient pas automatiquement le retour au capitalisme centralisé ou à l’État-nation souverain ; ils obligeraient à rouvrir la comparaison entre architectures concurrentes.</w:t>
      </w:r>
    </w:p>
    <w:p>
      <w:pPr>
        <w:pStyle w:val="Heading1"/>
      </w:pPr>
      <w:r>
        <w:t>22. Formule constitutionnelle courte</w:t>
      </w:r>
    </w:p>
    <w:p>
      <w:pPr>
        <w:pStyle w:val="Quote"/>
        <w:shd w:fill="EEF5F4"/>
      </w:pPr>
      <w:r>
        <w:rPr>
          <w:rFonts w:ascii="Aptos" w:hAnsi="Aptos"/>
          <w:color w:val="24323D"/>
        </w:rPr>
        <w:t>La Terre et ses conditions d’habitabilité sont un commun. Toute personne possède des droits égaux à l’existence, à la liberté substantielle et à la participation. Les communautés s’autogouvernent dans les limites des droits universels et des conséquences qu’elles imposent à autrui. Les ressources vitales et les infrastructures de dépendance sont administrées pour l’usage, non pour la rente. Toute autorité est bornée, distribuée, contrôlable, révocable et tenue de réparer les dommages qu’elle produit ou perpétue. La coordination mondiale ne possède que les compétences nécessaires à la protection des communs planétaires, de la paix, de la mobilité humaine et de l’égalité matérielle entre territoires.</w:t>
      </w:r>
    </w:p>
    <w:p>
      <w:pPr>
        <w:pStyle w:val="Heading2"/>
      </w:pPr>
      <w:r>
        <w:t>Conditions de révision</w:t>
      </w:r>
    </w:p>
    <w:p>
      <w:r>
        <w:rPr>
          <w:rFonts w:ascii="Aptos" w:hAnsi="Aptos"/>
          <w:color w:val="24323D"/>
        </w:rPr>
        <w:t>La proposition doit être reconstruite ou retirée si des observations indépendantes montrent durablement que ses collèges paralysent les crises, que ses communs deviennent des corporations, que les droits portables échouent à protéger la sortie, que les urgences conservent leurs pouvoirs ou que la complexité impose davantage de dépendance qu’elle ne produit de contrôle. Aucun test local ni aucun texte ne tranche ces questions : ils fixent seulement les conditions dans lesquelles une réponse future devrait compter.</w:t>
      </w:r>
    </w:p>
    <w:p>
      <w:pPr>
        <w:pStyle w:val="Heading1"/>
      </w:pPr>
      <w:r>
        <w:t>23. Conclusion provisoire</w:t>
      </w:r>
    </w:p>
    <w:p>
      <w:r>
        <w:rPr>
          <w:rFonts w:ascii="Aptos" w:hAnsi="Aptos"/>
          <w:color w:val="24323D"/>
        </w:rPr>
        <w:t xml:space="preserve">Le cœur viable de l’écosocialisme libertaire globalisé est une </w:t>
      </w:r>
      <w:r>
        <w:rPr>
          <w:rFonts w:ascii="Aptos" w:hAnsi="Aptos"/>
          <w:b/>
          <w:color w:val="24323D"/>
        </w:rPr>
        <w:t>confédération polycentrique à noyau constitutionnel simple</w:t>
      </w:r>
      <w:r>
        <w:rPr>
          <w:rFonts w:ascii="Aptos" w:hAnsi="Aptos"/>
          <w:color w:val="24323D"/>
        </w:rPr>
        <w:t>, articulant territoires et communs, droits universels portables, planification écologique par corridors, économie socialisée mais pluraliste et niveau mondial puissant sur quelques objets seulement.</w:t>
      </w:r>
    </w:p>
    <w:p>
      <w:r>
        <w:rPr>
          <w:rFonts w:ascii="Aptos" w:hAnsi="Aptos"/>
          <w:color w:val="24323D"/>
        </w:rPr>
        <w:t>Sa réussite dépend moins de la pureté de ses institutions que de capacités distribuées et durables : savoir ce qui se passe, contester, bloquer, proposer, financer, réparer et empêcher qu’un pouvoir supprimé ne se reconstitue sous une autre forme. Les contrôles doivent croître avec le pouvoir réel, mais rester assez simples pour ne pas transformer la protection contre la domination en nouvelle dépendance.</w:t>
      </w:r>
    </w:p>
    <w:p>
      <w:pPr>
        <w:pStyle w:val="Heading1"/>
        <w:pageBreakBefore/>
      </w:pPr>
      <w:r>
        <w:t>Annexe A — Bilan expérimental</w:t>
      </w:r>
    </w:p>
    <w:p>
      <w:pPr>
        <w:pStyle w:val="Heading1"/>
      </w:pPr>
      <w:r>
        <w:t>Sept cycles adversariaux</w:t>
      </w:r>
    </w:p>
    <w:p>
      <w:r>
        <w:rPr>
          <w:rFonts w:ascii="Aptos" w:hAnsi="Aptos"/>
          <w:color w:val="24323D"/>
        </w:rPr>
        <w:t>La première architecture a été confrontée à sept ruptures. Chacune devait produire une modification de capacité, non une simple reformulation.</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Rupture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Défaut révélé</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Reconstruction retenue</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Paralysie multi-échelle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Trop de collèges pouvaient bloquer l’action ordinaire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Contrôles proportionnels au risque et procédures conservatoires courtes</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Capture administrative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contrôleurs pouvaient devenir une nouvelle caste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 des centres effectifs, contre-expertise financée et rotation</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Jeu de la planification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acteurs pouvaient optimiser les indicateurs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Comptes physiques, audits hors cible et scénarios concurrents</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Domination locale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La subsidiarité pouvait protéger une majorité oppressive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portables et saisine directe d’instances supérieures</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Agression extérieure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La dispersion seule ne produisait pas une défense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Défense en couches et commandement temporaire à démobilisation vérifiée</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Sabotage de transition</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 calendrier pouvait détruire une capacité vitale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Portes de capacité, cellule bornée et voie de secours indépendante</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Surcharge institutionnelle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protections pouvaient devenir inaccessibles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Budget de complexité et défenseur public à porte d’entrée unique</w:t>
            </w:r>
          </w:p>
        </w:tc>
      </w:tr>
    </w:tbl>
    <w:p>
      <w:pPr>
        <w:spacing w:after="40"/>
      </w:pPr>
    </w:p>
    <w:p>
      <w:pPr>
        <w:pStyle w:val="Heading1"/>
      </w:pPr>
      <w:r>
        <w:t>Jumeau P-001 — continuité d’un service vital</w:t>
      </w:r>
    </w:p>
    <w:p>
      <w:r>
        <w:rPr>
          <w:rFonts w:ascii="Aptos" w:hAnsi="Aptos"/>
          <w:color w:val="24323D"/>
        </w:rPr>
        <w:t>P-001 compare porte de capacité, transfert à calendrier fixe, commandement central temporaire et porte accompagnée d’une cellule de continuité bornée. Les rivaux reçoivent les mêmes chocs et des budgets totaux égaux.</w:t>
      </w:r>
    </w:p>
    <w:p>
      <w:r>
        <w:rPr>
          <w:rFonts w:ascii="Aptos" w:hAnsi="Aptos"/>
          <w:color w:val="24323D"/>
        </w:rPr>
        <w:t>La porte pure échoue sous chocs denses, chaîne longue et environnement hostile. L’hybride reste à moins de 2 % du meilleur rival dans trois protocoles, réduit la charge de droits et restitue les pouvoirs plus vite que le centre. Il perd sous attaque ciblée de la porte, avec environ 15 % de besoins non servis supplémentaires face au meilleur rival. La v0.9 a donc adopté la cellule bornée et exigé une voie de secours indépendante.</w:t>
      </w:r>
    </w:p>
    <w:p>
      <w:pPr>
        <w:pStyle w:val="Heading1"/>
      </w:pPr>
      <w:r>
        <w:t>Jumeau P-002 — planification sous pénurie et manipulation</w:t>
      </w:r>
    </w:p>
    <w:p>
      <w:r>
        <w:rPr>
          <w:rFonts w:ascii="Aptos" w:hAnsi="Aptos"/>
          <w:color w:val="24323D"/>
        </w:rPr>
        <w:t>P-002 compare corridor, plan annuel de quantités et marché sous prix écologique dans 3 000 mondes synthétiques par cellule. Les six environnements couvrent base, rupture d’offre, forte volatilité, jeu coordonné, importations sales et apprentissage adversarial avec fraude de catégorie.</w:t>
      </w:r>
    </w:p>
    <w:p>
      <w:r>
        <w:rPr>
          <w:rFonts w:ascii="Aptos" w:hAnsi="Aptos"/>
          <w:color w:val="24323D"/>
        </w:rPr>
        <w:t>Le corridor n’est dominé par aucun rival : ses besoins vitaux non servis restent entre 2,0 % et 3,9 %, contre 4,4 % à 11,6 % pour le plan et 5,7 % à 12,5 % pour le marché. Il impose toutefois 18,1 heures administratives synthétiques, contre 10,7 pour le plan. Sous fraude adaptative, son avantage vital face au plan tombe à 2,3 points et les deux méthodes atteignent 8 % de non-service aux bas revenus. La v0.10 retient donc un corridor à deux régimes.</w:t>
      </w:r>
    </w:p>
    <w:p>
      <w:pPr>
        <w:pStyle w:val="Heading1"/>
      </w:pPr>
      <w:r>
        <w:t>Échecs de méthode conservés</w:t>
      </w:r>
    </w:p>
    <w:p>
      <w:r>
        <w:rPr>
          <w:rFonts w:ascii="Aptos" w:hAnsi="Aptos"/>
          <w:color w:val="24323D"/>
        </w:rPr>
        <w:t>Trois erreurs ont matériellement changé l’interprétation : un avantage initial de capacités accordé à la CCT dans CCT-7X-001 ; des tirages non appariés entre rivaux au début de P-001 ; et le comptage de capacités inutilisées comme empreinte dans le pilote P-002. Elles sont documentées parce qu’une architecture qui ne publie que ses succès ne peut prétendre organiser son propre contrôle.</w:t>
      </w:r>
    </w:p>
    <w:p>
      <w:pPr>
        <w:pStyle w:val="Heading1"/>
      </w:pPr>
      <w:r>
        <w:t>Annexe B — Programme territorial P-001 à P-005</w:t>
      </w:r>
    </w:p>
    <w:p>
      <w:r>
        <w:rPr>
          <w:rFonts w:ascii="Aptos" w:hAnsi="Aptos"/>
          <w:color w:val="24323D"/>
        </w:rPr>
        <w:t>Les cinq prototypes commencent en mode fantôme : leurs décisions simulées n’affectent pas les services réels. Chaque protocole publie ses critères avant résultat, dispose d’un responsable d’arrêt extérieur à l’équipe de recherche et répare toute charge imprévue.</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Prototype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Question discriminante</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Première scène recommandée</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P-001 Transition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Maintenir la continuité sans concentration durable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Chaîne non clinique d’un réseau hospitalier ou régie locale</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P-002 Corridors</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Protéger plancher et plafond avec une charge soutenable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Approvisionnement municipal ou achats de matériaux</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P-003 Droits portables</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Réduire délai et abandon sans masquer le responsable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Démarche non urgente entre communes volontaires</w:t>
            </w:r>
          </w:p>
        </w:tc>
      </w:tr>
      <w:tr>
        <w:trPr>
          <w:cantSplit w:val="true"/>
        </w:trP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P-004 Commandement</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Coordonner vite et rendre tous les pouvoirs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Exercice civil fictif sur paiements ou communications</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P-005 Polycrise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Faire fonctionner plusieurs garanties avec les mêmes ressources dégradées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Exercice conjoint énergie, paiements, recours et communications</w:t>
            </w:r>
          </w:p>
        </w:tc>
      </w:tr>
    </w:tbl>
    <w:p>
      <w:pPr>
        <w:spacing w:after="40"/>
      </w:pPr>
    </w:p>
    <w:p>
      <w:pPr>
        <w:pStyle w:val="Heading1"/>
      </w:pPr>
      <w:r>
        <w:t>Séquence de validation</w:t>
      </w:r>
    </w:p>
    <w:p>
      <w:pPr>
        <w:pStyle w:val="ListNumber"/>
        <w:numPr>
          <w:ilvl w:val="0"/>
          <w:numId w:val="17"/>
        </w:numPr>
      </w:pPr>
      <w:r>
        <w:rPr>
          <w:rFonts w:ascii="Aptos" w:hAnsi="Aptos"/>
          <w:color w:val="24323D"/>
        </w:rPr>
        <w:t>publier le protocole, les rivaux, les seuils et les conditions d’arrêt ;</w:t>
      </w:r>
    </w:p>
    <w:p>
      <w:pPr>
        <w:pStyle w:val="ListNumber"/>
        <w:numPr>
          <w:ilvl w:val="0"/>
          <w:numId w:val="17"/>
        </w:numPr>
      </w:pPr>
      <w:r>
        <w:rPr>
          <w:rFonts w:ascii="Aptos" w:hAnsi="Aptos"/>
          <w:color w:val="24323D"/>
        </w:rPr>
        <w:t>exécuter en mode fantôme sans réduction de droit ou de service ;</w:t>
      </w:r>
    </w:p>
    <w:p>
      <w:pPr>
        <w:pStyle w:val="ListNumber"/>
        <w:numPr>
          <w:ilvl w:val="0"/>
          <w:numId w:val="17"/>
        </w:numPr>
      </w:pPr>
      <w:r>
        <w:rPr>
          <w:rFonts w:ascii="Aptos" w:hAnsi="Aptos"/>
          <w:color w:val="24323D"/>
        </w:rPr>
        <w:t>faire évaluer les résultats par plusieurs équipes indépendantes ;</w:t>
      </w:r>
    </w:p>
    <w:p>
      <w:pPr>
        <w:pStyle w:val="ListNumber"/>
        <w:numPr>
          <w:ilvl w:val="0"/>
          <w:numId w:val="17"/>
        </w:numPr>
      </w:pPr>
      <w:r>
        <w:rPr>
          <w:rFonts w:ascii="Aptos" w:hAnsi="Aptos"/>
          <w:color w:val="24323D"/>
        </w:rPr>
        <w:t>autoriser éventuellement un pilote borné dans des territoires volontaires ;</w:t>
      </w:r>
    </w:p>
    <w:p>
      <w:pPr>
        <w:pStyle w:val="ListNumber"/>
        <w:numPr>
          <w:ilvl w:val="0"/>
          <w:numId w:val="17"/>
        </w:numPr>
      </w:pPr>
      <w:r>
        <w:rPr>
          <w:rFonts w:ascii="Aptos" w:hAnsi="Aptos"/>
          <w:color w:val="24323D"/>
        </w:rPr>
        <w:t>réobserver après retrait de l’équipe conceptrice ;</w:t>
      </w:r>
    </w:p>
    <w:p>
      <w:pPr>
        <w:pStyle w:val="ListNumber"/>
        <w:numPr>
          <w:ilvl w:val="0"/>
          <w:numId w:val="17"/>
        </w:numPr>
      </w:pPr>
      <w:r>
        <w:rPr>
          <w:rFonts w:ascii="Aptos" w:hAnsi="Aptos"/>
          <w:color w:val="24323D"/>
        </w:rPr>
        <w:t>varier taille, richesse, culture politique, stress et capacité administrative ;</w:t>
      </w:r>
    </w:p>
    <w:p>
      <w:pPr>
        <w:pStyle w:val="ListNumber"/>
        <w:numPr>
          <w:ilvl w:val="0"/>
          <w:numId w:val="17"/>
        </w:numPr>
      </w:pPr>
      <w:r>
        <w:rPr>
          <w:rFonts w:ascii="Aptos" w:hAnsi="Aptos"/>
          <w:color w:val="24323D"/>
        </w:rPr>
        <w:t>généraliser seulement après comparaison des pertes, recours et coûts cachés.</w:t>
      </w:r>
    </w:p>
    <w:p>
      <w:pPr>
        <w:pStyle w:val="Heading1"/>
        <w:pageBreakBefore/>
      </w:pPr>
      <w:r>
        <w:t>Annexe C — État de validation</w:t>
      </w:r>
    </w:p>
    <w:tbl>
      <w:tblPr>
        <w:tblStyle w:val="TableGrid"/>
        <w:tblW w:type="dxa" w:w="9360"/>
        <w:jc w:val="left"/>
        <w:tblLayout w:type="fixed"/>
        <w:tblLook w:firstColumn="1" w:firstRow="1" w:lastColumn="0" w:lastRow="0" w:noHBand="0" w:noVBand="1" w:val="04A0"/>
        <w:tblInd w:w="120" w:type="dxa"/>
      </w:tblPr>
      <w:tblGrid>
        <w:gridCol w:w="1900"/>
        <w:gridCol w:w="800"/>
        <w:gridCol w:w="1600"/>
        <w:gridCol w:w="1500"/>
        <w:gridCol w:w="1400"/>
        <w:gridCol w:w="2160"/>
      </w:tblGrid>
      <w:tr>
        <w:trPr>
          <w:tblHeader w:val="true"/>
          <w:cantSplit w:val="true"/>
        </w:trPr>
        <w:tc>
          <w:tcPr>
            <w:tcW w:type="dxa" w:w="1900"/>
            <w:shd w:fill="17324D"/>
            <w:vAlign w:val="center"/>
            <w:tcMar>
              <w:top w:w="100" w:type="dxa"/>
              <w:start w:w="120" w:type="dxa"/>
              <w:bottom w:w="100" w:type="dxa"/>
              <w:end w:w="120" w:type="dxa"/>
            </w:tcMar>
          </w:tcPr>
          <w:p>
            <w:pPr>
              <w:spacing w:after="0" w:line="259" w:lineRule="auto"/>
            </w:pPr>
            <w:r>
              <w:rPr>
                <w:rFonts w:ascii="Aptos" w:hAnsi="Aptos"/>
                <w:b/>
                <w:color w:val="FFFFFF"/>
                <w:sz w:val="16"/>
              </w:rPr>
            </w:r>
            <w:r>
              <w:rPr>
                <w:rFonts w:ascii="Aptos" w:hAnsi="Aptos"/>
                <w:b/>
                <w:color w:val="FFFFFF"/>
                <w:sz w:val="16"/>
              </w:rPr>
              <w:t>Élément</w:t>
            </w:r>
          </w:p>
        </w:tc>
        <w:tc>
          <w:tcPr>
            <w:tcW w:type="dxa" w:w="800"/>
            <w:shd w:fill="17324D"/>
            <w:vAlign w:val="center"/>
            <w:tcMar>
              <w:top w:w="100" w:type="dxa"/>
              <w:start w:w="120" w:type="dxa"/>
              <w:bottom w:w="100" w:type="dxa"/>
              <w:end w:w="120" w:type="dxa"/>
            </w:tcMar>
          </w:tcPr>
          <w:p>
            <w:pPr>
              <w:spacing w:after="0" w:line="259" w:lineRule="auto"/>
            </w:pPr>
            <w:r>
              <w:rPr>
                <w:rFonts w:ascii="Aptos" w:hAnsi="Aptos"/>
                <w:b/>
                <w:color w:val="FFFFFF"/>
                <w:sz w:val="16"/>
              </w:rPr>
            </w:r>
            <w:r>
              <w:rPr>
                <w:rFonts w:ascii="Aptos" w:hAnsi="Aptos"/>
                <w:b/>
                <w:color w:val="FFFFFF"/>
                <w:sz w:val="16"/>
              </w:rPr>
              <w:t>Écrit</w:t>
            </w:r>
          </w:p>
        </w:tc>
        <w:tc>
          <w:tcPr>
            <w:tcW w:type="dxa" w:w="1600"/>
            <w:shd w:fill="17324D"/>
            <w:vAlign w:val="center"/>
            <w:tcMar>
              <w:top w:w="100" w:type="dxa"/>
              <w:start w:w="120" w:type="dxa"/>
              <w:bottom w:w="100" w:type="dxa"/>
              <w:end w:w="120" w:type="dxa"/>
            </w:tcMar>
          </w:tcPr>
          <w:p>
            <w:pPr>
              <w:spacing w:after="0" w:line="259" w:lineRule="auto"/>
            </w:pPr>
            <w:r>
              <w:rPr>
                <w:rFonts w:ascii="Aptos" w:hAnsi="Aptos"/>
                <w:b/>
                <w:color w:val="FFFFFF"/>
                <w:sz w:val="16"/>
              </w:rPr>
            </w:r>
            <w:r>
              <w:rPr>
                <w:rFonts w:ascii="Aptos" w:hAnsi="Aptos"/>
                <w:b/>
                <w:color w:val="FFFFFF"/>
                <w:sz w:val="16"/>
              </w:rPr>
              <w:t>Testé logiciellement</w:t>
            </w:r>
          </w:p>
        </w:tc>
        <w:tc>
          <w:tcPr>
            <w:tcW w:type="dxa" w:w="1500"/>
            <w:shd w:fill="17324D"/>
            <w:vAlign w:val="center"/>
            <w:tcMar>
              <w:top w:w="100" w:type="dxa"/>
              <w:start w:w="120" w:type="dxa"/>
              <w:bottom w:w="100" w:type="dxa"/>
              <w:end w:w="120" w:type="dxa"/>
            </w:tcMar>
          </w:tcPr>
          <w:p>
            <w:pPr>
              <w:spacing w:after="0" w:line="259" w:lineRule="auto"/>
            </w:pPr>
            <w:r>
              <w:rPr>
                <w:rFonts w:ascii="Aptos" w:hAnsi="Aptos"/>
                <w:b/>
                <w:color w:val="FFFFFF"/>
                <w:sz w:val="16"/>
              </w:rPr>
            </w:r>
            <w:r>
              <w:rPr>
                <w:rFonts w:ascii="Aptos" w:hAnsi="Aptos"/>
                <w:b/>
                <w:color w:val="FFFFFF"/>
                <w:sz w:val="16"/>
              </w:rPr>
              <w:t>Autorisé sur terrain</w:t>
            </w:r>
          </w:p>
        </w:tc>
        <w:tc>
          <w:tcPr>
            <w:tcW w:type="dxa" w:w="1400"/>
            <w:shd w:fill="17324D"/>
            <w:vAlign w:val="center"/>
            <w:tcMar>
              <w:top w:w="100" w:type="dxa"/>
              <w:start w:w="120" w:type="dxa"/>
              <w:bottom w:w="100" w:type="dxa"/>
              <w:end w:w="120" w:type="dxa"/>
            </w:tcMar>
          </w:tcPr>
          <w:p>
            <w:pPr>
              <w:spacing w:after="0" w:line="259" w:lineRule="auto"/>
            </w:pPr>
            <w:r>
              <w:rPr>
                <w:rFonts w:ascii="Aptos" w:hAnsi="Aptos"/>
                <w:b/>
                <w:color w:val="FFFFFF"/>
                <w:sz w:val="16"/>
              </w:rPr>
            </w:r>
            <w:r>
              <w:rPr>
                <w:rFonts w:ascii="Aptos" w:hAnsi="Aptos"/>
                <w:b/>
                <w:color w:val="FFFFFF"/>
                <w:sz w:val="16"/>
              </w:rPr>
              <w:t>Déployé réel</w:t>
            </w:r>
          </w:p>
        </w:tc>
        <w:tc>
          <w:tcPr>
            <w:tcW w:type="dxa" w:w="2160"/>
            <w:shd w:fill="17324D"/>
            <w:vAlign w:val="center"/>
            <w:tcMar>
              <w:top w:w="100" w:type="dxa"/>
              <w:start w:w="120" w:type="dxa"/>
              <w:bottom w:w="100" w:type="dxa"/>
              <w:end w:w="120" w:type="dxa"/>
            </w:tcMar>
          </w:tcPr>
          <w:p>
            <w:pPr>
              <w:spacing w:after="0" w:line="259" w:lineRule="auto"/>
            </w:pPr>
            <w:r>
              <w:rPr>
                <w:rFonts w:ascii="Aptos" w:hAnsi="Aptos"/>
                <w:b/>
                <w:color w:val="FFFFFF"/>
                <w:sz w:val="16"/>
              </w:rPr>
            </w:r>
            <w:r>
              <w:rPr>
                <w:rFonts w:ascii="Aptos" w:hAnsi="Aptos"/>
                <w:b/>
                <w:color w:val="FFFFFF"/>
                <w:sz w:val="16"/>
              </w:rPr>
              <w:t>Réobservé indépendamment</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Architecture historique v0.13</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Sans objet</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Révision politique CCT-POL 1.1</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Contrats locaux</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Simulateur CCT-7X</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Sans objet</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Synthétique</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Jumeau P001-DT-003</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Sans objet</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Synthétique</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Jumeau P002-DT-002</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Sans objet</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Synthétique</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P-001 territorial</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P-002 territorial</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P-003 territorial</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P-004 territorial</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CCT-L50-001</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structure</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Sans objet</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Conceptuel</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P-005 territorial</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1.4 gelée</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gel vérifié</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Sans objet</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Local</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1.5 provenance</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1.6 attente probatoire</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1.7 pont de continuité</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1.8 présence du pont</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1.9 lignage des exercices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2.0 panne d'une voie</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structure</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2.1 basculement temporel</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 borné</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2.2 causes communes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dépendances déclarées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2.3 détectabilité</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 borné</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2.4 composition sous le seuil</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synthétique borné</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2.5 interactions entre classes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36 paires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2.6 interactions triples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12 triples et 72 ordres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2.7 doubles contextes triples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24 triples et 144 ordres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2.8 contextes dirigés par le risque</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6 triples et 36 ordres engagés avant exercice</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2.9 provenance des signaux</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attestations et calibration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3.0 transport tenu à l'écart</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2 contextes synthétiques par signal</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3.1 incertitude simultanée</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162 intervalles de Wilson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3.2 grappes indépendantes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90 intervalles au niveau des grappes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3.3 lignée des grappes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racines distinctes entre contextes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3.4 lignée du portefeuille</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racines distinctes entre 45 signaux</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3.5 attestations de lignée</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7 200 attestations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3.6 perturbations croisées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90 perturbations synthétiques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3.7 effets observés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4 050 effets issus de comptes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3.8 assignation et attrition</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assignation bloquée synthétique</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3.9 interférence entre grappes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exposition entre bras bornée</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4.0 randomisation reproductible</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1 800 étiquettes dérivées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4.1 équilibre prétraitement</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3 covariables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4.2 placebos prétraitement</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270 intervalles simultanés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4.3 équilibre distributif</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3 groupes d'exposition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4.4 placebos distributifs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10 800 comptes et 810 comparaisons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4.5 sensibilité aux seuils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15 groupes et 4 050 comparaisons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4.6 à 4.8 balayages et registre d'exposition</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seuils observés, paires et budget borné</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4.9 amendement du registre</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engagement antérieur pour campagne future</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5.0 valeur hors échantillon</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gain de score et puissance synthétiques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5.1 à 5.3 non-dégradation et appartenance</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axes, intersections et doubles canaux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5.4 calibration des construits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références aveugles synthétiques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5.5 transport ciblé</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deux contextes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5.6 à 5.7 indépendance et contenu des preuves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lignées et engagements synthétiques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5.8 garde indépendante avant résultats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deux signatures Ed25519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5.9 inclusion dans un journal</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preuve de Merkle et tête signée synthétiques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6.0 accord inter-témoins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deux témoins à clés épinglées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6.1 cohérence bornée du journal</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extension append-only 2 vers 3 synthétique</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6.2 cohérence générale du journal</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tailles arbitraires et trois vecteurs RFC dérivés séparément</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6.3 à 6.5 anti-rejeu et partitions</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pin monotone, vues signées et quorum 3-sur-4 synthétiques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6.6 à 6.8 gouvernance des observateurs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rotation conjointe, admission distincte et équivoque signée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6.9 à 9.6 suspension, réparation et couverture</w:t>
            </w:r>
          </w:p>
        </w:tc>
        <w:tc>
          <w:tcPr>
            <w:tcW w:type="dxa" w:w="8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expiration, réparation, dépendances, branches, enveloppes, jetons, puits et adaptation temporelle synthétiques</w:t>
            </w:r>
          </w:p>
        </w:tc>
        <w:tc>
          <w:tcPr>
            <w:tcW w:type="dxa" w:w="15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shd w:fill="F3F5F6"/>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CCT-EXEC 9.7 à 10.35 non-liaison, contrôle effectif et autorités</w:t>
            </w:r>
          </w:p>
        </w:tc>
        <w:tc>
          <w:tcPr>
            <w:tcW w:type="dxa" w:w="8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w:t>
            </w:r>
          </w:p>
        </w:tc>
        <w:tc>
          <w:tcPr>
            <w:tcW w:type="dxa" w:w="16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Oui, préengagements, lignées, attestations, révocations et rotations synthétiques</w:t>
            </w:r>
          </w:p>
        </w:tc>
        <w:tc>
          <w:tcPr>
            <w:tcW w:type="dxa" w:w="15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140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c>
          <w:tcPr>
            <w:tcW w:type="dxa" w:w="2160"/>
            <w:vAlign w:val="center"/>
            <w:tcMar>
              <w:top w:w="100" w:type="dxa"/>
              <w:start w:w="120" w:type="dxa"/>
              <w:bottom w:w="100" w:type="dxa"/>
              <w:end w:w="120" w:type="dxa"/>
            </w:tcMar>
          </w:tcPr>
          <w:p>
            <w:pPr>
              <w:spacing w:after="0" w:line="259" w:lineRule="auto"/>
            </w:pPr>
            <w:r>
              <w:rPr>
                <w:rFonts w:ascii="Aptos" w:hAnsi="Aptos"/>
                <w:b w:val="0"/>
                <w:color w:val="24323D"/>
                <w:sz w:val="16"/>
              </w:rPr>
            </w:r>
            <w:r>
              <w:rPr>
                <w:rFonts w:ascii="Aptos" w:hAnsi="Aptos"/>
                <w:b w:val="0"/>
                <w:color w:val="24323D"/>
                <w:sz w:val="16"/>
              </w:rPr>
              <w:t>Non</w:t>
            </w:r>
          </w:p>
        </w:tc>
      </w:tr>
    </w:tbl>
    <w:p>
      <w:pPr>
        <w:spacing w:after="40"/>
      </w:pPr>
    </w:p>
    <w:p>
      <w:r>
        <w:rPr>
          <w:rFonts w:ascii="Aptos" w:hAnsi="Aptos"/>
          <w:color w:val="24323D"/>
        </w:rPr>
        <w:t>Ces tests établissent reproductibilité, cohérence locale et barrières synthétiques contre certains rejeux, partitions, suspensions abusives et clôtures documentaires de réparation. Les 8.9 à 9.6 détectent dans leurs scénarios une arête ignorée, une branche non instrumentée, une enveloppe sans terminaison, un effet latéral sans jeton, un puits omis ou permissif, un marquage visible des sondes et une évasion tardive. Les 9.7 à 10.35 ajoutent des barrières contre la liaison entre campagnes, la sélection rétrospective, les attestations sans contrôle effectif, le rejeu d'une histoire de révocation et la rotation unilatérale ou réactivante d'une autorité. Elles ne prouvent ni la complétude ni l'infalsifiabilité d'une instrumentation réelle, ni l'absence d'adaptation entre campagnes. Ces tests n'établissent ni paramètres réels, indépendance organisationnelle, journal externe, horodatage opposable, visibilité complète en partition, légitimité des registres, recours utilisable, justice des unités de compensation, validité externe, effet territorial ou acceptabilité. Les candidates 1.5 à 10.35 ne remplacent pas le gel 1.4.</w:t>
      </w:r>
    </w:p>
    <w:p>
      <w:pPr>
        <w:pStyle w:val="Heading1"/>
      </w:pPr>
      <w:r>
        <w:t>Annexe D — Charte constitutionnelle courte</w:t>
      </w:r>
    </w:p>
    <w:p>
      <w:pPr>
        <w:pStyle w:val="Quote"/>
        <w:shd w:fill="EEF5F4"/>
      </w:pPr>
      <w:r>
        <w:rPr>
          <w:rFonts w:ascii="Aptos" w:hAnsi="Aptos"/>
          <w:color w:val="24323D"/>
        </w:rPr>
        <w:t>La Terre et ses conditions d’habitabilité sont un commun. Toute personne possède des droits égaux à l’existence, à la liberté substantielle et à la participation. Les communautés s’autogouvernent dans les limites des droits universels et des conséquences qu’elles imposent à autrui. Les ressources vitales et les infrastructures de dépendance sont administrées pour l’usage, non pour la rente. Toute autorité est bornée, distribuée, contrôlable, révocable et tenue de réparer les dommages qu’elle produit ou perpétue. La coordination mondiale ne possède que les compétences nécessaires à la protection des communs planétaires, de la paix, de la mobilité humaine et de l’égalité matérielle entre territoires.</w:t>
      </w:r>
    </w:p>
    <w:p>
      <w:pPr>
        <w:pStyle w:val="Heading1"/>
      </w:pPr>
      <w:r>
        <w:t>Annexe E — Conditions de retrait ou de révision</w:t>
      </w:r>
    </w:p>
    <w:p>
      <w:r>
        <w:rPr>
          <w:rFonts w:ascii="Aptos" w:hAnsi="Aptos"/>
          <w:color w:val="24323D"/>
        </w:rPr>
        <w:t>Réviser la CCT si des preuves indépendantes durables établissent : paralysie ; corporatisation ; dommages exportés ; corridors privatifs ; irrévocabilité mondiale ; sortie sans protection ; urgence non rendue ; ou dépendance accrue. Aucun rival n’est validé sans publier ses pertes.</w:t>
      </w:r>
    </w:p>
    <w:sectPr w:rsidR="00FC693F" w:rsidRPr="0006063C" w:rsidSect="00034616">
      <w:headerReference w:type="default" r:id="rId9"/>
      <w:footerReference w:type="default" r:id="rId10"/>
      <w:pgSz w:w="12240" w:h="15840"/>
      <w:pgMar w:top="1181" w:right="1296" w:bottom="1483"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6"/>
      </w:rPr>
      <w:t>CONFÉDÉRATION DES COMMUNS TERRESTRES   /   LIVRE BLANC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ptos" w:hAnsi="Aptos"/>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ind w:left="403" w:right="360"/>
    </w:pPr>
    <w:rPr>
      <w:rFonts w:ascii="Aptos" w:hAnsi="Aptos"/>
      <w:i w:val="0"/>
      <w:iCs/>
      <w:color w:val="17324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Confédération des communs terrestres — Livre blanc</dc:title>
  <dc:subject>Architecture écosocialiste libertaire, modèle institutionnel et programme expérimental</dc:subject>
  <dc:creator>Confédération des communs terrestres — document de travail</dc:creator>
  <cp:keywords>CCT, écosocialisme, libertaire, gouvernance mondiale, communs, constitution</cp:keywords>
  <dc:description>generated by python-docx</dc:description>
  <cp:lastModifiedBy/>
  <cp:revision>1</cp:revision>
  <dcterms:created xsi:type="dcterms:W3CDTF">2013-12-23T23:15:00Z</dcterms:created>
  <dcterms:modified xsi:type="dcterms:W3CDTF">2013-12-23T23:15:00Z</dcterms:modified>
  <cp:category/>
</cp:coreProperties>
</file>