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Livre Vert de la Confédération des communs terrestres</w:t>
      </w:r>
    </w:p>
    <w:p>
      <w:pPr>
        <w:pStyle w:val="Subtitle"/>
      </w:pPr>
      <w:r>
        <w:t>Document de consultation sur les choix institutionnels et les épreuves à conduire</w:t>
      </w:r>
    </w:p>
    <w:p>
      <w:r>
        <w:t>Version de travail du 10 septembre 2026</w:t>
      </w:r>
    </w:p>
    <w:p>
      <w:pPr>
        <w:pStyle w:val="Heading2"/>
      </w:pPr>
      <w:r>
        <w:t>Résumé exécutif</w:t>
      </w:r>
    </w:p>
    <w:p>
      <w:r>
        <w:t>La Confédération des communs terrestres est une proposition de gouvernance mondiale écosocialiste et libertaire. Elle cherche à rendre gouvernables des interdépendances devenues planétaires sans créer un pouvoir mondial souverain. Son principe directeur consiste à centraliser seulement les garanties et coordinations que l’échelle matérielle impose, puis à distribuer l’initiative, l’exécution, le contrôle, le recours et la révocation.</w:t>
      </w:r>
    </w:p>
    <w:p>
      <w:r>
        <w:t>Ce Livre Vert ne demande pas d’adopter la CCT. Il ouvre une consultation sur les décisions qui doivent précéder toute adoption : quelles fonctions relèvent des territoires, des communs fonctionnels ou de la confédération ; comment garantir le minimum vital sous plafond écologique ; comment empêcher la capture des institutions ; comment agir vite sans rendre les pouvoirs d’urgence permanents ; et quelles preuves permettraient de préférer cette architecture à des rivales plus simples.</w:t>
      </w:r>
    </w:p>
    <w:p>
      <w:r>
        <w:t>Le programme de recherche a produit une doctrine politique, des scénarios adversariaux, des jumeaux numériques et une lignée exécutable allant jusqu’à CCT-EXEC 10.35. Ces artefacts ont corrigé des contradictions et rendu plusieurs conditions d’échec testables. Ils n’établissent ni adhésion populaire, ni légalité, ni financement, ni indépendance extérieure, ni faisabilité territoriale, ni effet causal réel. Le niveau atteint est celui d’une architecture candidate localement et synthétiquement éprouvée.</w:t>
      </w:r>
    </w:p>
    <w:p>
      <w:r>
        <w:t>La recommandation de ce Livre Vert est limitée : poursuivre uniquement par des exercices externes en mode fantôme, avec rivaux crédibles, budgets appariés, résultats non compensables, droit d’arrêt extérieur à l’équipe CCT et publication des pertes. Aucun service vital, droit ou accès ne doit dépendre de ces exercices. Toute étape territoriale ultérieure exigerait une autorisation distincte, un consentement praticable, une restauration exercée et une réparation préfinancée.</w:t>
      </w:r>
    </w:p>
    <w:p>
      <w:pPr>
        <w:pStyle w:val="Heading2"/>
      </w:pPr>
      <w:r>
        <w:t>Comment participer à la consultation</w:t>
      </w:r>
    </w:p>
    <w:p>
      <w:r>
        <w:t>Chaque chapitre présente un problème, plusieurs options, une orientation candidate et des questions. Une réponse utile doit indiquer l’option retenue, les personnes ou écosystèmes qui pourraient en supporter le coût, les conditions de retrait et les observations nécessaires pour changer d’avis. L’accord avec le vocabulaire de la CCT ne vaut pas réponse.</w:t>
      </w:r>
    </w:p>
    <w:p>
      <w:r>
        <w:t>Les contributions devraient distinguer quatre statuts : ce qui est constaté ; ce qui est supposé ; ce qui est proposé ; ce qui a été effectivement observé. Une proposition institutionnelle ne devient pas un fait parce qu’elle est cohérente, simulée ou traduite en code.</w:t>
      </w:r>
    </w:p>
    <w:p>
      <w:pPr>
        <w:pStyle w:val="Heading1"/>
      </w:pPr>
      <w:r>
        <w:t>Première partie Le problème politique</w:t>
      </w:r>
    </w:p>
    <w:p>
      <w:pPr>
        <w:pStyle w:val="Heading2"/>
      </w:pPr>
      <w:r>
        <w:t>1 Gouverner les interdépendances sans souverain mondial</w:t>
      </w:r>
    </w:p>
    <w:p>
      <w:r>
        <w:t>L’eau, le climat, les chaînes alimentaires, l’énergie, les communications, les migrations et les risques financiers traversent les frontières. Les décisions restent pourtant réparties entre États, collectivités, entreprises et institutions sectorielles dont les responsabilités se superposent. Deux réponses classiques échouent symétriquement : l’autosuffisance locale nie les dépendances réelles ; la centralisation mondiale transforme la coordination en compétence générale.</w:t>
      </w:r>
    </w:p>
    <w:p>
      <w:r>
        <w:t>La CCT propose trois lieux de décision. Les territoires garantissent la citoyenneté, les services et la vie démocratique. Les communs fonctionnels suivent les bassins matériels réels d’une ressource ou d’une infrastructure. La confédération planétaire reçoit une compétence limitée pour les droits universels, les communs écologiques, la paix, les mobilités et la redistribution entre territoires.</w:t>
      </w:r>
    </w:p>
    <w:p>
      <w:r>
        <w:t>Ce partage ne peut être fixé une fois pour toutes. Une décision monte d’échelle lorsqu’elle menace un droit, exporte un dommage ou mobilise une ressource partagée. Elle doit redescendre lorsque cette justification disparaît. Le passage d’échelle exige un mandat public, une durée, des moyens bornés, une voie de contestation et une restitution vérifiable.</w:t>
      </w:r>
    </w:p>
    <w:p>
      <w:r/>
      <w:r>
        <w:rPr>
          <w:b/>
        </w:rPr>
        <w:t>Options soumises à consultation</w:t>
      </w:r>
      <w:r/>
    </w:p>
    <w:p>
      <w:pPr>
        <w:ind w:left="369" w:hanging="255"/>
      </w:pPr>
      <w:r>
        <w:t>1. Une liste constitutionnelle fermée des compétences mondiales.</w:t>
      </w:r>
    </w:p>
    <w:p>
      <w:pPr>
        <w:ind w:left="369" w:hanging="255"/>
      </w:pPr>
      <w:r>
        <w:t>2. Une clause fonctionnelle permettant une montée d’échelle sous critères matériels.</w:t>
      </w:r>
    </w:p>
    <w:p>
      <w:pPr>
        <w:ind w:left="369" w:hanging="255"/>
      </w:pPr>
      <w:r>
        <w:t>3. Une combinaison des deux, avec liste fermée et procédure d’exception temporaire.</w:t>
      </w:r>
    </w:p>
    <w:p>
      <w:r>
        <w:t>L’orientation candidate retient la troisième option. Elle réduit le risque d’impuissance sans accorder une compétence générale. Elle échoue si l’exception devient la voie normale d’expansion.</w:t>
      </w:r>
    </w:p>
    <w:p>
      <w:r/>
      <w:r>
        <w:rPr>
          <w:b/>
        </w:rPr>
        <w:t>Questions</w:t>
      </w:r>
      <w:r/>
    </w:p>
    <w:p>
      <w:pPr>
        <w:pStyle w:val="ListBullet"/>
      </w:pPr>
      <w:r>
        <w:t>Quels dommages exportés justifient une compétence supérieure immédiate ?</w:t>
      </w:r>
    </w:p>
    <w:p>
      <w:pPr>
        <w:pStyle w:val="ListBullet"/>
      </w:pPr>
      <w:r>
        <w:t>Qui peut déclencher la révision d’échelle et qui peut l’arrêter ?</w:t>
      </w:r>
    </w:p>
    <w:p>
      <w:pPr>
        <w:pStyle w:val="ListBullet"/>
      </w:pPr>
      <w:r>
        <w:t>Quelle preuve montrerait qu’une compétence mondiale est devenue irréversible ?</w:t>
      </w:r>
    </w:p>
    <w:p>
      <w:pPr>
        <w:pStyle w:val="Heading2"/>
      </w:pPr>
      <w:r>
        <w:t>2 Droits portables et existence matérielle</w:t>
      </w:r>
    </w:p>
    <w:p>
      <w:r>
        <w:t>Un droit n’existe matériellement que si une personne peut l’utiliser. La CCT place au noyau constitutionnel l’eau, l’alimentation, le logement, les soins, l’expression, l’organisation, la mobilité, la participation, le recours et la protection contre la coercition. Ces droits doivent rester accessibles entre territoires et pendant une panne administrative ou numérique.</w:t>
      </w:r>
    </w:p>
    <w:p>
      <w:r>
        <w:t>La porte d’entrée unique vise à éviter que l’usager connaisse d’avance le bon guichet. Elle ne doit toutefois pas masquer le responsable. Le défenseur public oriente la demande, conserve la chaîne de responsabilité et permet un contact humain. Les voies hors ligne, la traduction et les preuves de présence minimales sont des composantes du droit, non des services accessoires.</w:t>
      </w:r>
    </w:p>
    <w:p>
      <w:r/>
      <w:r>
        <w:rPr>
          <w:b/>
        </w:rPr>
        <w:t>Options soumises à consultation</w:t>
      </w:r>
      <w:r/>
    </w:p>
    <w:p>
      <w:pPr>
        <w:ind w:left="369" w:hanging="255"/>
      </w:pPr>
      <w:r>
        <w:t>1. Harmoniser seulement des standards minimaux entre territoires.</w:t>
      </w:r>
    </w:p>
    <w:p>
      <w:pPr>
        <w:ind w:left="369" w:hanging="255"/>
      </w:pPr>
      <w:r>
        <w:t>2. Créer des droits directement opposables au niveau confédéral.</w:t>
      </w:r>
    </w:p>
    <w:p>
      <w:pPr>
        <w:ind w:left="369" w:hanging="255"/>
      </w:pPr>
      <w:r>
        <w:t>3. Associer droits opposables et financement de péréquation conditionné à la capacité d’usage.</w:t>
      </w:r>
    </w:p>
    <w:p>
      <w:r>
        <w:t>L’orientation candidate retient la troisième option, sous contrôle d’une juridiction ou d’un collège de recours distinct de l’exécutif financier.</w:t>
      </w:r>
    </w:p>
    <w:p>
      <w:r/>
      <w:r>
        <w:rPr>
          <w:b/>
        </w:rPr>
        <w:t>Questions</w:t>
      </w:r>
      <w:r/>
    </w:p>
    <w:p>
      <w:pPr>
        <w:pStyle w:val="ListBullet"/>
      </w:pPr>
      <w:r>
        <w:t>Quels droits doivent être immédiatement opposables et lesquels peuvent être progressifs ?</w:t>
      </w:r>
    </w:p>
    <w:p>
      <w:pPr>
        <w:pStyle w:val="ListBullet"/>
      </w:pPr>
      <w:r>
        <w:t>Comment éviter qu’une porte unique devienne une base d’identité et de surveillance unique ?</w:t>
      </w:r>
    </w:p>
    <w:p>
      <w:pPr>
        <w:pStyle w:val="ListBullet"/>
      </w:pPr>
      <w:r>
        <w:t>Comment mesurer le délai jusqu’à l’usage réel, plutôt que le délai jusqu’à une décision administrative ?</w:t>
      </w:r>
    </w:p>
    <w:p>
      <w:pPr>
        <w:pStyle w:val="Heading1"/>
      </w:pPr>
      <w:r>
        <w:t>Deuxième partie Économie et écologie</w:t>
      </w:r>
    </w:p>
    <w:p>
      <w:pPr>
        <w:pStyle w:val="Heading2"/>
      </w:pPr>
      <w:r>
        <w:t>3 Démarchandiser le vital sans administrer toute l’économie</w:t>
      </w:r>
    </w:p>
    <w:p>
      <w:r>
        <w:t>La CCT assume une direction post-capitaliste : retirer les besoins vitaux, les monopoles naturels et les infrastructures de dépendance de la rente. Elle ne prescrit pas une entreprise mondiale unique. Les services essentiels peuvent prendre des formes publiques, communes ou coopératives si travailleurs, usagers et territoires disposent de capacités effectives de gouvernance, d’information, de refus et de reprise.</w:t>
      </w:r>
    </w:p>
    <w:p>
      <w:r>
        <w:t>Une sphère marchande peut subsister pour les activités non essentielles. Elle perd son admissibilité lorsqu’elle conditionne l’accès vital, achète une décision, dépasse un plafond écologique, reconstitue un monopole ou transfère durablement ses coûts. La propriété personnelle et la sécurité d’usage restent protégées ; elles ne créent pas un droit à mettre en rente un besoin ou une dépendance.</w:t>
      </w:r>
    </w:p>
    <w:p>
      <w:r/>
      <w:r>
        <w:rPr>
          <w:b/>
        </w:rPr>
        <w:t>Options soumises à consultation</w:t>
      </w:r>
      <w:r/>
    </w:p>
    <w:p>
      <w:pPr>
        <w:ind w:left="369" w:hanging="255"/>
      </w:pPr>
      <w:r>
        <w:t>1. Définir constitutionnellement une liste de secteurs démarchandisés.</w:t>
      </w:r>
    </w:p>
    <w:p>
      <w:pPr>
        <w:ind w:left="369" w:hanging="255"/>
      </w:pPr>
      <w:r>
        <w:t>2. Utiliser un test fonctionnel fondé sur la dépendance, le monopole et la possibilité de sortie.</w:t>
      </w:r>
    </w:p>
    <w:p>
      <w:pPr>
        <w:ind w:left="369" w:hanging="255"/>
      </w:pPr>
      <w:r>
        <w:t>3. Combiner un socle sectoriel et une procédure publique de reclassement.</w:t>
      </w:r>
    </w:p>
    <w:p>
      <w:r>
        <w:t>L’orientation candidate retient la troisième option. Le reclassement doit examiner les propriétaires effectifs, le financement, les données, les licences, les compétences rares et les possibilités de contournement.</w:t>
      </w:r>
    </w:p>
    <w:p>
      <w:r/>
      <w:r>
        <w:rPr>
          <w:b/>
        </w:rPr>
        <w:t>Questions</w:t>
      </w:r>
      <w:r/>
    </w:p>
    <w:p>
      <w:pPr>
        <w:pStyle w:val="ListBullet"/>
      </w:pPr>
      <w:r>
        <w:t>Comment reconnaître une dépendance essentielle émergente ?</w:t>
      </w:r>
    </w:p>
    <w:p>
      <w:pPr>
        <w:pStyle w:val="ListBullet"/>
      </w:pPr>
      <w:r>
        <w:t>Quel régime d’héritage empêche la reconstitution d’une classe de veto sans fragiliser la sécurité d’usage ?</w:t>
      </w:r>
    </w:p>
    <w:p>
      <w:pPr>
        <w:pStyle w:val="ListBullet"/>
      </w:pPr>
      <w:r>
        <w:t>Quelles capacités doivent être transférées pour qu’une socialisation soit réelle et non nominale ?</w:t>
      </w:r>
    </w:p>
    <w:p>
      <w:pPr>
        <w:pStyle w:val="Heading2"/>
      </w:pPr>
      <w:r>
        <w:t>4 Le corridor social et écologique</w:t>
      </w:r>
    </w:p>
    <w:p>
      <w:r>
        <w:t>La planification par corridors fixe un plancher social, un plafond écologique et laisse plusieurs mécanismes d’allocation concourir entre les deux. Elle refuse qu’un bon total masque une privation concentrée ou qu’une performance locale repose sur des dommages importés.</w:t>
      </w:r>
    </w:p>
    <w:p>
      <w:r>
        <w:t>Lorsque plancher et plafond deviennent temporairement incompatibles, la priorité va au minimum biologique, à la réduction des usages discrétionnaires, à l’égalité de sacrifice et à une dette explicite de réparation. Cette règle ne résout pas automatiquement les conflits : elle impose de publier les pertes, les groupes exposés, les irréversibilités et les raisons du choix.</w:t>
      </w:r>
    </w:p>
    <w:p>
      <w:r>
        <w:t>Les simulations internes suggèrent que les corridors peuvent réduire certains besoins non servis par rapport à un plan annuel ou à un marché sous prix écologique. Elles montrent aussi une charge administrative supérieure et une vulnérabilité au jeu des catégories. Ces résultats sont synthétiques et ne prédisent pas une société réelle.</w:t>
      </w:r>
    </w:p>
    <w:p>
      <w:r/>
      <w:r>
        <w:rPr>
          <w:b/>
        </w:rPr>
        <w:t>Options soumises à consultation</w:t>
      </w:r>
      <w:r/>
    </w:p>
    <w:p>
      <w:pPr>
        <w:ind w:left="369" w:hanging="255"/>
      </w:pPr>
      <w:r>
        <w:t>1. Plan annuel de quantités.</w:t>
      </w:r>
    </w:p>
    <w:p>
      <w:pPr>
        <w:ind w:left="369" w:hanging="255"/>
      </w:pPr>
      <w:r>
        <w:t>2. Marché sous taxes écologiques et garanties sociales.</w:t>
      </w:r>
    </w:p>
    <w:p>
      <w:pPr>
        <w:ind w:left="369" w:hanging="255"/>
      </w:pPr>
      <w:r>
        <w:t>3. Corridor à régime unique.</w:t>
      </w:r>
    </w:p>
    <w:p>
      <w:pPr>
        <w:ind w:left="369" w:hanging="255"/>
      </w:pPr>
      <w:r>
        <w:t>4. Corridor à deux régimes, simple en temps normal et renforcé sous seuil matériel.</w:t>
      </w:r>
    </w:p>
    <w:p>
      <w:r>
        <w:t>L’orientation candidate retient la quatrième option, à condition que les seuils soient publics et que leur activation n’augmente pas les privations.</w:t>
      </w:r>
    </w:p>
    <w:p>
      <w:r/>
      <w:r>
        <w:rPr>
          <w:b/>
        </w:rPr>
        <w:t>Questions</w:t>
      </w:r>
      <w:r/>
    </w:p>
    <w:p>
      <w:pPr>
        <w:pStyle w:val="ListBullet"/>
      </w:pPr>
      <w:r>
        <w:t>Qui fixe le plancher et le plafond, et comment sont-ils révisés ?</w:t>
      </w:r>
    </w:p>
    <w:p>
      <w:pPr>
        <w:pStyle w:val="ListBullet"/>
      </w:pPr>
      <w:r>
        <w:t>Quels comptes physiques doivent compléter les prix et indicateurs ?</w:t>
      </w:r>
    </w:p>
    <w:p>
      <w:pPr>
        <w:pStyle w:val="ListBullet"/>
      </w:pPr>
      <w:r>
        <w:t>Quelle charge administrative maximale rendrait le corridor inférieur à une option plus simple ?</w:t>
      </w:r>
    </w:p>
    <w:p>
      <w:pPr>
        <w:pStyle w:val="Heading2"/>
      </w:pPr>
      <w:r>
        <w:t>5 Protéger les écosystèmes qui rendent la réparation possible</w:t>
      </w:r>
    </w:p>
    <w:p>
      <w:r>
        <w:t>La restauration future ne remplace pas un écosystème encore fonctionnel. Zones humides, bassins versants, forêts anciennes, sols, récifs et autres amortisseurs critiques bénéficient d’une présomption de protection. Leur destruction exige une démonstration renforcée d’absence d’alternative et un recours suspensif praticable.</w:t>
      </w:r>
    </w:p>
    <w:p>
      <w:r>
        <w:t>La responsabilité suit les flux. Un territoire ne peut améliorer son bilan en déplaçant extraction, déchets, pollution ou vulnérabilité. Les comptes doivent inclure l’empreinte importée, les pertes irréversibles, les délais de régénération et les personnes chargées du soin écologique.</w:t>
      </w:r>
    </w:p>
    <w:p>
      <w:r/>
      <w:r>
        <w:rPr>
          <w:b/>
        </w:rPr>
        <w:t>Questions</w:t>
      </w:r>
      <w:r/>
    </w:p>
    <w:p>
      <w:pPr>
        <w:pStyle w:val="ListBullet"/>
      </w:pPr>
      <w:r>
        <w:t>Quels écosystèmes doivent recevoir un statut de commun fonctionnel transfrontalier ?</w:t>
      </w:r>
    </w:p>
    <w:p>
      <w:pPr>
        <w:pStyle w:val="ListBullet"/>
      </w:pPr>
      <w:r>
        <w:t>Comment représenter les personnes absentes, les générations futures et le vivant sans créer une caste de porte-parole permanents ?</w:t>
      </w:r>
    </w:p>
    <w:p>
      <w:pPr>
        <w:pStyle w:val="ListBullet"/>
      </w:pPr>
      <w:r>
        <w:t>Quelle perte écologique doit déclencher automatiquement une suspension ?</w:t>
      </w:r>
    </w:p>
    <w:p>
      <w:pPr>
        <w:pStyle w:val="Heading1"/>
      </w:pPr>
      <w:r>
        <w:t>Troisième partie Pouvoir et démocratie</w:t>
      </w:r>
    </w:p>
    <w:p>
      <w:pPr>
        <w:pStyle w:val="Heading2"/>
      </w:pPr>
      <w:r>
        <w:t>6 Décider sans fabriquer un centre caché</w:t>
      </w:r>
    </w:p>
    <w:p>
      <w:r>
        <w:t>Les institutions visibles ne sont pas toujours les centres effectifs. Le contrôle peut se concentrer dans l’agenda, les données, les délais, les financements, les clés techniques, la traduction ou la capacité de remettre un système en marche. La CCT demande donc de tracer la chaîne complète : proposition, autorisation, exécution, observation, contestation, arrêt et réparation.</w:t>
      </w:r>
    </w:p>
    <w:p>
      <w:r>
        <w:t>Les assemblées territoriales, mandats révocables, collèges tirés au sort, organisations de personnes concernées et expertises contradictoires peuvent être combinés. Aucun montage n’est présumé démocratique par son nom. Le test porte sur la possibilité effective de déplacer un pouvoir abusif ou inutile.</w:t>
      </w:r>
    </w:p>
    <w:p>
      <w:r/>
      <w:r>
        <w:rPr>
          <w:b/>
        </w:rPr>
        <w:t>Options soumises à consultation</w:t>
      </w:r>
      <w:r/>
    </w:p>
    <w:p>
      <w:pPr>
        <w:ind w:left="369" w:hanging="255"/>
      </w:pPr>
      <w:r>
        <w:t>1. Contrôle permanent uniforme de toutes les décisions.</w:t>
      </w:r>
    </w:p>
    <w:p>
      <w:pPr>
        <w:ind w:left="369" w:hanging="255"/>
      </w:pPr>
      <w:r>
        <w:t>2. Contrôle proportionnel au risque, renforcé pour coercition, secret, irréversibilité et dommages exportés.</w:t>
      </w:r>
    </w:p>
    <w:p>
      <w:pPr>
        <w:ind w:left="369" w:hanging="255"/>
      </w:pPr>
      <w:r>
        <w:t>3. Contrôle déclenché uniquement après plainte.</w:t>
      </w:r>
    </w:p>
    <w:p>
      <w:r>
        <w:t>L’orientation candidate retient la deuxième option avec un accès simple à la plainte. Le contrôle lourd généralisé a été abandonné parce qu’il pouvait devenir une nouvelle dépendance professionnelle.</w:t>
      </w:r>
    </w:p>
    <w:p>
      <w:r/>
      <w:r>
        <w:rPr>
          <w:b/>
        </w:rPr>
        <w:t>Questions</w:t>
      </w:r>
      <w:r/>
    </w:p>
    <w:p>
      <w:pPr>
        <w:pStyle w:val="ListBullet"/>
      </w:pPr>
      <w:r>
        <w:t>Quels indicateurs révèlent un centre effectif avant qu’il soit juridiquement consacré ?</w:t>
      </w:r>
    </w:p>
    <w:p>
      <w:pPr>
        <w:pStyle w:val="ListBullet"/>
      </w:pPr>
      <w:r>
        <w:t>Quelles fonctions ne doivent jamais appartenir au même acteur ?</w:t>
      </w:r>
    </w:p>
    <w:p>
      <w:pPr>
        <w:pStyle w:val="ListBullet"/>
      </w:pPr>
      <w:r>
        <w:t>Comment financer une contre-expertise sans la rendre dépendante du pouvoir contesté ?</w:t>
      </w:r>
    </w:p>
    <w:p>
      <w:pPr>
        <w:pStyle w:val="Heading2"/>
      </w:pPr>
      <w:r>
        <w:t>7 Le contre champ et l’attribution rigoureuse</w:t>
      </w:r>
    </w:p>
    <w:p>
      <w:r>
        <w:t>Toute décision distributive, écologique, coercitive ou irréversible doit décrire ce qu’elle ne voit pas : personnes absentes, travail de soin, dépendances matérielles, écosystèmes, données manquantes, porteurs de coûts et voies de contournement. Le contre-champ n’est ni un veto automatique ni une preuve. Son omission non motivée rend la décision contestable et éventuellement suspendable.</w:t>
      </w:r>
    </w:p>
    <w:p>
      <w:r>
        <w:t>La responsabilité doit être attribuée à un mécanisme observable : propriété, financement, ordre, fonction, exemption, contrôle d’une ressource, acte ou effet. Une identité collective ne remplace jamais cette preuve. Les qualifications juridiques graves conservent leurs critères propres.</w:t>
      </w:r>
    </w:p>
    <w:p>
      <w:r/>
      <w:r>
        <w:rPr>
          <w:b/>
        </w:rPr>
        <w:t>Questions</w:t>
      </w:r>
      <w:r/>
    </w:p>
    <w:p>
      <w:pPr>
        <w:pStyle w:val="ListBullet"/>
      </w:pPr>
      <w:r>
        <w:t>Quel contenu minimal rend le registre du contre-champ utile sans le transformer en formulaire rituel ?</w:t>
      </w:r>
    </w:p>
    <w:p>
      <w:pPr>
        <w:pStyle w:val="ListBullet"/>
      </w:pPr>
      <w:r>
        <w:t>Qui peut signaler une omission et sous quel délai ?</w:t>
      </w:r>
    </w:p>
    <w:p>
      <w:pPr>
        <w:pStyle w:val="ListBullet"/>
      </w:pPr>
      <w:r>
        <w:t>Comment protéger les données sensibles tout en rendant l’attribution contestable ?</w:t>
      </w:r>
    </w:p>
    <w:p>
      <w:pPr>
        <w:pStyle w:val="Heading2"/>
      </w:pPr>
      <w:r>
        <w:t>8 Connaissance langues et infrastructures d’information</w:t>
      </w:r>
    </w:p>
    <w:p>
      <w:r>
        <w:t>Une preuve importante ne doit pas dépendre d’une seule base, d’un seul modèle, d’une seule traduction ou d’une seule autorité. Les divergences sont conservées et instruites. La sécurité peut limiter la divulgation opérationnelle, mais elle ne peut supprimer la preuve d’autorisation, le contrôle indépendant ou le recours.</w:t>
      </w:r>
    </w:p>
    <w:p>
      <w:r>
        <w:t>La pluralité linguistique exige davantage que traduire des décisions déjà prises. Les communautés doivent pouvoir formuler les problèmes dans leurs propres catégories, contester la traduction et maintenir des archives accessibles. Les voies analogiques et locales protègent la continuité lorsque les systèmes centraux échouent.</w:t>
      </w:r>
    </w:p>
    <w:p>
      <w:r/>
      <w:r>
        <w:rPr>
          <w:b/>
        </w:rPr>
        <w:t>Questions</w:t>
      </w:r>
      <w:r/>
    </w:p>
    <w:p>
      <w:pPr>
        <w:pStyle w:val="ListBullet"/>
      </w:pPr>
      <w:r>
        <w:t>Quelles informations doivent être publiques, accessibles sous contrôle ou strictement minimisées ?</w:t>
      </w:r>
    </w:p>
    <w:p>
      <w:pPr>
        <w:pStyle w:val="ListBullet"/>
      </w:pPr>
      <w:r>
        <w:t>Comment détecter qu’une langue pivot modifie les options plutôt que les mots seuls ?</w:t>
      </w:r>
    </w:p>
    <w:p>
      <w:pPr>
        <w:pStyle w:val="ListBullet"/>
      </w:pPr>
      <w:r>
        <w:t>Quels standards ouverts sont nécessaires sans créer une infrastructure obligatoire unique ?</w:t>
      </w:r>
    </w:p>
    <w:p>
      <w:pPr>
        <w:pStyle w:val="Heading1"/>
      </w:pPr>
      <w:r>
        <w:t>Quatrième partie Crises transition et sécurité</w:t>
      </w:r>
    </w:p>
    <w:p>
      <w:pPr>
        <w:pStyle w:val="Heading2"/>
      </w:pPr>
      <w:r>
        <w:t>9 Agir en urgence et rendre le pouvoir</w:t>
      </w:r>
    </w:p>
    <w:p>
      <w:r>
        <w:t>La CCT ne suppose plus que la coordination volontaire suffit toujours. Une crise peut exiger un commandement temporaire. Celui-ci ne peut redéfinir les droits ni prolonger seul son mandat. Renseignement, ciblage, détention, paiement, réquisition, données et restriction de mouvement doivent avoir des détenteurs, échéances et chaînes d’arrêt distincts.</w:t>
      </w:r>
    </w:p>
    <w:p>
      <w:r>
        <w:t>La fin écrite d’un mandat ne prouve pas la restitution. Il faut vérifier la fermeture des accès, le retour des ressources, la restauration des voies civiles, les pertes restantes et la capacité des personnes affectées à contester. L’acteur qui ordonne l’arrêt ne doit pas être le seul à certifier son accomplissement.</w:t>
      </w:r>
    </w:p>
    <w:p>
      <w:r/>
      <w:r>
        <w:rPr>
          <w:b/>
        </w:rPr>
        <w:t>Options soumises à consultation</w:t>
      </w:r>
      <w:r/>
    </w:p>
    <w:p>
      <w:pPr>
        <w:ind w:left="369" w:hanging="255"/>
      </w:pPr>
      <w:r>
        <w:t>1. Commandement central unique pendant toute urgence.</w:t>
      </w:r>
    </w:p>
    <w:p>
      <w:pPr>
        <w:ind w:left="369" w:hanging="255"/>
      </w:pPr>
      <w:r>
        <w:t>2. Coordination locale sans commandement.</w:t>
      </w:r>
    </w:p>
    <w:p>
      <w:pPr>
        <w:ind w:left="369" w:hanging="255"/>
      </w:pPr>
      <w:r>
        <w:t>3. Commandement temporaire à fonctions séparées et restitution vérifiée.</w:t>
      </w:r>
    </w:p>
    <w:p>
      <w:r>
        <w:t>L’orientation candidate retient la troisième option, mais elle doit perdre face au centre si elle ne protège pas assez vite les fonctions vitales, et face au local si elle concentre inutilement le pouvoir.</w:t>
      </w:r>
    </w:p>
    <w:p>
      <w:r/>
      <w:r>
        <w:rPr>
          <w:b/>
        </w:rPr>
        <w:t>Questions</w:t>
      </w:r>
      <w:r/>
    </w:p>
    <w:p>
      <w:pPr>
        <w:pStyle w:val="ListBullet"/>
      </w:pPr>
      <w:r>
        <w:t>Quel délai de décision est acceptable pour chaque type de crise ?</w:t>
      </w:r>
    </w:p>
    <w:p>
      <w:pPr>
        <w:pStyle w:val="ListBullet"/>
      </w:pPr>
      <w:r>
        <w:t>Qui détient une capacité d’arrêt immédiatement utilisable ?</w:t>
      </w:r>
    </w:p>
    <w:p>
      <w:pPr>
        <w:pStyle w:val="ListBullet"/>
      </w:pPr>
      <w:r>
        <w:t>Quel exercice prouve que la restitution fonctionne sous panne et opposition ?</w:t>
      </w:r>
    </w:p>
    <w:p>
      <w:pPr>
        <w:pStyle w:val="Heading2"/>
      </w:pPr>
      <w:r>
        <w:t>10 Transition et portes de capacité</w:t>
      </w:r>
    </w:p>
    <w:p>
      <w:r>
        <w:t>Une transition politique peut détruire l’infrastructure qu’elle veut socialiser si elle ignore stocks, compétences, licences, fournisseurs et solutions de repli. Avant chaque transfert critique, une porte de capacité vérifie ces dépendances et publie la condition d’arrêt.</w:t>
      </w:r>
    </w:p>
    <w:p>
      <w:r>
        <w:t>Pour un service vital, une cellule temporaire de continuité peut intervenir. Elle n’a pas le pouvoir de modifier les fins du service. Sa mission consiste à maintenir l’accès, organiser une relève et laisser davantage de capacité locale qu’elle n’en a trouvé.</w:t>
      </w:r>
    </w:p>
    <w:p>
      <w:r/>
      <w:r>
        <w:rPr>
          <w:b/>
        </w:rPr>
        <w:t>Questions</w:t>
      </w:r>
      <w:r/>
    </w:p>
    <w:p>
      <w:pPr>
        <w:pStyle w:val="ListBullet"/>
      </w:pPr>
      <w:r>
        <w:t>Quelles capacités doivent être démontrées avant un transfert de propriété ou de gestion ?</w:t>
      </w:r>
    </w:p>
    <w:p>
      <w:pPr>
        <w:pStyle w:val="ListBullet"/>
      </w:pPr>
      <w:r>
        <w:t>Quand une cellule de continuité devient-elle un centre permanent déguisé ?</w:t>
      </w:r>
    </w:p>
    <w:p>
      <w:pPr>
        <w:pStyle w:val="ListBullet"/>
      </w:pPr>
      <w:r>
        <w:t>Qui supporte le coût d’un calendrier ralenti pour protéger la continuité ?</w:t>
      </w:r>
    </w:p>
    <w:p>
      <w:pPr>
        <w:pStyle w:val="Heading2"/>
      </w:pPr>
      <w:r>
        <w:t>11 Le Ciel de la CCT</w:t>
      </w:r>
    </w:p>
    <w:p>
      <w:r>
        <w:t>Le Ciel désigne une couche mobile de continuité reliant les communs lorsque routes, réseaux ou approvisionnements sont rompus. Il peut mobiliser bateau, train, véhicule, vélo, relais humain, énergie, communications, soins ou pièces de rechange. La forme compte moins que la capacité transmise.</w:t>
      </w:r>
    </w:p>
    <w:p>
      <w:r>
        <w:t>Le Ciel échoue s’il remplace les réserves locales, devient le seul canal, conditionne l’aide à une adhésion ou collecte des données inutiles. Une intervention n’est admissible que si elle ajoute une voie réellement distincte et laisse une capacité locale maintenable, un recours et une possibilité de refus.</w:t>
      </w:r>
    </w:p>
    <w:p>
      <w:r/>
      <w:r>
        <w:rPr>
          <w:b/>
        </w:rPr>
        <w:t>Questions</w:t>
      </w:r>
      <w:r/>
    </w:p>
    <w:p>
      <w:pPr>
        <w:pStyle w:val="ListBullet"/>
      </w:pPr>
      <w:r>
        <w:t>Quelles fonctions mobiles doivent être mutualisées et à quelle échelle ?</w:t>
      </w:r>
    </w:p>
    <w:p>
      <w:pPr>
        <w:pStyle w:val="ListBullet"/>
      </w:pPr>
      <w:r>
        <w:t>Comment prouver l’indépendance d’une voie de secours par rapport à la panne initiale ?</w:t>
      </w:r>
    </w:p>
    <w:p>
      <w:pPr>
        <w:pStyle w:val="ListBullet"/>
      </w:pPr>
      <w:r>
        <w:t>Quel mécanisme empêche le secours de devenir une dépendance économique ou politique ?</w:t>
      </w:r>
    </w:p>
    <w:p>
      <w:pPr>
        <w:pStyle w:val="Heading2"/>
      </w:pPr>
      <w:r>
        <w:t>12 Défense sans état d’exception permanent</w:t>
      </w:r>
    </w:p>
    <w:p>
      <w:r>
        <w:t>Le cycle adversarial consacré à la sécurité a conduit à abandonner l’idée qu’une dispersion institutionnelle produit à elle seule une défense. La proposition actuelle envisage une défense en couches, subordonnée au droit, avec séparation des fonctions, contrôle des ordres et démobilisation vérifiée.</w:t>
      </w:r>
    </w:p>
    <w:p>
      <w:r>
        <w:t>Ce Livre Vert ne définit ni doctrine opérationnelle ni capacités militaires. Il pose une frontière : le secret des opérations ne justifie pas le secret sur la légalité, l’autorisation, le contrôle, la possibilité de recours et la réparation. Toute compétence coercitive doit être plus difficile à conserver qu’à activer.</w:t>
      </w:r>
    </w:p>
    <w:p>
      <w:r/>
      <w:r>
        <w:rPr>
          <w:b/>
        </w:rPr>
        <w:t>Questions</w:t>
      </w:r>
      <w:r/>
    </w:p>
    <w:p>
      <w:pPr>
        <w:pStyle w:val="ListBullet"/>
      </w:pPr>
      <w:r>
        <w:t>Quelles fonctions de défense peuvent être confédérales sans créer une souveraineté générale ?</w:t>
      </w:r>
    </w:p>
    <w:p>
      <w:pPr>
        <w:pStyle w:val="ListBullet"/>
      </w:pPr>
      <w:r>
        <w:t>Comment protéger les traces de responsabilité sans exposer des informations opérationnelles ?</w:t>
      </w:r>
    </w:p>
    <w:p>
      <w:pPr>
        <w:pStyle w:val="ListBullet"/>
      </w:pPr>
      <w:r>
        <w:t>Quels acteurs peuvent refuser un ordre illégal sans être privés de protection ?</w:t>
      </w:r>
    </w:p>
    <w:p>
      <w:pPr>
        <w:pStyle w:val="Heading1"/>
      </w:pPr>
      <w:r>
        <w:t>Cinquième partie Mise à l’épreuve</w:t>
      </w:r>
    </w:p>
    <w:p>
      <w:pPr>
        <w:pStyle w:val="Heading2"/>
      </w:pPr>
      <w:r>
        <w:t>13 Ce que les sept destructions ont changé</w:t>
      </w:r>
    </w:p>
    <w:p>
      <w:r>
        <w:t>La première version de la CCT a été attaquée sur sept fronts : paralysie polycentrique, capture par les experts, jeu des indicateurs, domination locale, agression extérieure, sabotage de transition et complexité institutionnelle. Chaque attaque devait entraîner une modification de capacité ou une condition de retrait.</w:t>
      </w:r>
    </w:p>
    <w:p>
      <w:r>
        <w:t>Le modèle a abandonné la triple validation générale, la confiance dans la transparence seule, la planification principalement annuelle, le droit de sortie comme protection suffisante, le désarmement sans défense transitoire, le calendrier politique sans porte de capacité et l’idée que davantage de contrôles produit mécaniquement davantage de liberté.</w:t>
      </w:r>
    </w:p>
    <w:p>
      <w:r>
        <w:t>Il en ressort un noyau plus simple : droits portables, planchers sociaux, plafonds écologiques, institutions ordinaires lisibles et contrôles renforcés seulement face à la concentration, la coercition, le secret, l’irréversibilité ou les dommages exportés. Cette reconstruction réduit des contradictions internes ; elle ne démontre pas une supériorité historique.</w:t>
      </w:r>
    </w:p>
    <w:p>
      <w:pPr>
        <w:pStyle w:val="Heading2"/>
      </w:pPr>
      <w:r>
        <w:t>14 Ce que le logiciel apporte et ce qu’il ne peut pas apporter</w:t>
      </w:r>
    </w:p>
    <w:p>
      <w:r>
        <w:t>CCT-EXEC transforme des exigences étroites en barrières exécutables. La lignée distingue une dette d’une réparation, refuse deux reçus issus de la même collecte, protège les droits pendant une preuve contestée, teste les causes de panne communes, conserve les histoires de révocation et empêche certaines rotations unilatérales d’autorité.</w:t>
      </w:r>
    </w:p>
    <w:p>
      <w:r>
        <w:t>La référence autoritative interne de recherche est CCT-EXEC 10.35. La version 1.4 reste le gel historique. Les candidates intermédiaires forment une seule lignée dépendante : leur nombre n’équivaut pas à autant de preuves. L’indépendance extérieure demeure inconnue.</w:t>
      </w:r>
    </w:p>
    <w:p>
      <w:r>
        <w:t>Le logiciel peut établir qu’un paquet satisfait un contrat local. Il ne peut créer l’autorité juridique d’un signataire, l’indépendance économique d’un observateur, la disponibilité d’un recours, la justice d’une compensation ou la confiance d’une population. Il rend certaines prétentions refusables ; il ne fabrique pas l’institution.</w:t>
      </w:r>
    </w:p>
    <w:p>
      <w:pPr>
        <w:pStyle w:val="Heading2"/>
      </w:pPr>
      <w:r>
        <w:t>15 Les prototypes à comparer</w:t>
      </w:r>
    </w:p>
    <w:p>
      <w:r>
        <w:t>Le programme propose cinq familles d’épreuves commençant toutes en mode fantôme.</w:t>
      </w:r>
    </w:p>
    <w:tbl>
      <w:tblPr>
        <w:tblW w:type="auto" w:w="0"/>
        <w:tblLayout w:type="autofit"/>
        <w:tblLook w:firstColumn="1" w:firstRow="1" w:lastColumn="0" w:lastRow="0" w:noHBand="0" w:noVBand="1" w:val="04A0"/>
      </w:tblPr>
      <w:tblGrid>
        <w:gridCol w:w="3230"/>
        <w:gridCol w:w="3230"/>
        <w:gridCol w:w="3230"/>
      </w:tblGrid>
      <w:tr>
        <w:trPr>
          <w:tblHeader w:val="true"/>
        </w:trPr>
        <w:tc>
          <w:tcPr>
            <w:tcW w:type="dxa" w:w="3230"/>
            <w:vAlign w:val="center"/>
            <w:tcMar>
              <w:top w:w="100" w:type="dxa"/>
              <w:start w:w="110" w:type="dxa"/>
              <w:bottom w:w="100" w:type="dxa"/>
              <w:end w:w="110" w:type="dxa"/>
            </w:tcMar>
            <w:shd w:fill="315B46"/>
          </w:tcPr>
          <w:p>
            <w:r>
              <w:rPr>
                <w:b/>
                <w:color w:val="FFFFFF"/>
              </w:rPr>
              <w:t>Prototype</w:t>
            </w:r>
          </w:p>
        </w:tc>
        <w:tc>
          <w:tcPr>
            <w:tcW w:type="dxa" w:w="3230"/>
            <w:vAlign w:val="center"/>
            <w:tcMar>
              <w:top w:w="100" w:type="dxa"/>
              <w:start w:w="110" w:type="dxa"/>
              <w:bottom w:w="100" w:type="dxa"/>
              <w:end w:w="110" w:type="dxa"/>
            </w:tcMar>
            <w:shd w:fill="315B46"/>
          </w:tcPr>
          <w:p>
            <w:r>
              <w:rPr>
                <w:b/>
                <w:color w:val="FFFFFF"/>
              </w:rPr>
              <w:t>Question principale</w:t>
            </w:r>
          </w:p>
        </w:tc>
        <w:tc>
          <w:tcPr>
            <w:tcW w:type="dxa" w:w="3230"/>
            <w:vAlign w:val="center"/>
            <w:tcMar>
              <w:top w:w="100" w:type="dxa"/>
              <w:start w:w="110" w:type="dxa"/>
              <w:bottom w:w="100" w:type="dxa"/>
              <w:end w:w="110" w:type="dxa"/>
            </w:tcMar>
            <w:shd w:fill="315B46"/>
          </w:tcPr>
          <w:p>
            <w:r>
              <w:rPr>
                <w:b/>
                <w:color w:val="FFFFFF"/>
              </w:rPr>
              <w:t>Rival indispensable</w:t>
            </w:r>
          </w:p>
        </w:tc>
      </w:tr>
      <w:tr>
        <w:tc>
          <w:tcPr>
            <w:tcW w:type="dxa" w:w="3230"/>
            <w:vAlign w:val="center"/>
            <w:tcMar>
              <w:top w:w="100" w:type="dxa"/>
              <w:start w:w="110" w:type="dxa"/>
              <w:bottom w:w="100" w:type="dxa"/>
              <w:end w:w="110" w:type="dxa"/>
            </w:tcMar>
          </w:tcPr>
          <w:p>
            <w:r>
              <w:t>Transition</w:t>
            </w:r>
          </w:p>
        </w:tc>
        <w:tc>
          <w:tcPr>
            <w:tcW w:type="dxa" w:w="3230"/>
            <w:vAlign w:val="center"/>
            <w:tcMar>
              <w:top w:w="100" w:type="dxa"/>
              <w:start w:w="110" w:type="dxa"/>
              <w:bottom w:w="100" w:type="dxa"/>
              <w:end w:w="110" w:type="dxa"/>
            </w:tcMar>
          </w:tcPr>
          <w:p>
            <w:r>
              <w:t>Maintenir le vital sans concentration durable</w:t>
            </w:r>
          </w:p>
        </w:tc>
        <w:tc>
          <w:tcPr>
            <w:tcW w:type="dxa" w:w="3230"/>
            <w:vAlign w:val="center"/>
            <w:tcMar>
              <w:top w:w="100" w:type="dxa"/>
              <w:start w:w="110" w:type="dxa"/>
              <w:bottom w:w="100" w:type="dxa"/>
              <w:end w:w="110" w:type="dxa"/>
            </w:tcMar>
          </w:tcPr>
          <w:p>
            <w:r>
              <w:t>Calendrier fixe et centre temporaire</w:t>
            </w:r>
          </w:p>
        </w:tc>
      </w:tr>
      <w:tr>
        <w:tc>
          <w:tcPr>
            <w:tcW w:type="dxa" w:w="3230"/>
            <w:vAlign w:val="center"/>
            <w:tcMar>
              <w:top w:w="100" w:type="dxa"/>
              <w:start w:w="110" w:type="dxa"/>
              <w:bottom w:w="100" w:type="dxa"/>
              <w:end w:w="110" w:type="dxa"/>
            </w:tcMar>
            <w:shd w:fill="EEF4F0"/>
          </w:tcPr>
          <w:p>
            <w:r>
              <w:t>Corridors</w:t>
            </w:r>
          </w:p>
        </w:tc>
        <w:tc>
          <w:tcPr>
            <w:tcW w:type="dxa" w:w="3230"/>
            <w:vAlign w:val="center"/>
            <w:tcMar>
              <w:top w:w="100" w:type="dxa"/>
              <w:start w:w="110" w:type="dxa"/>
              <w:bottom w:w="100" w:type="dxa"/>
              <w:end w:w="110" w:type="dxa"/>
            </w:tcMar>
            <w:shd w:fill="EEF4F0"/>
          </w:tcPr>
          <w:p>
            <w:r>
              <w:t>Protéger plancher et plafond avec une charge soutenable</w:t>
            </w:r>
          </w:p>
        </w:tc>
        <w:tc>
          <w:tcPr>
            <w:tcW w:type="dxa" w:w="3230"/>
            <w:vAlign w:val="center"/>
            <w:tcMar>
              <w:top w:w="100" w:type="dxa"/>
              <w:start w:w="110" w:type="dxa"/>
              <w:bottom w:w="100" w:type="dxa"/>
              <w:end w:w="110" w:type="dxa"/>
            </w:tcMar>
            <w:shd w:fill="EEF4F0"/>
          </w:tcPr>
          <w:p>
            <w:r>
              <w:t>Plan annuel et marché sous taxe</w:t>
            </w:r>
          </w:p>
        </w:tc>
      </w:tr>
      <w:tr>
        <w:tc>
          <w:tcPr>
            <w:tcW w:type="dxa" w:w="3230"/>
            <w:vAlign w:val="center"/>
            <w:tcMar>
              <w:top w:w="100" w:type="dxa"/>
              <w:start w:w="110" w:type="dxa"/>
              <w:bottom w:w="100" w:type="dxa"/>
              <w:end w:w="110" w:type="dxa"/>
            </w:tcMar>
          </w:tcPr>
          <w:p>
            <w:r>
              <w:t>Droits portables</w:t>
            </w:r>
          </w:p>
        </w:tc>
        <w:tc>
          <w:tcPr>
            <w:tcW w:type="dxa" w:w="3230"/>
            <w:vAlign w:val="center"/>
            <w:tcMar>
              <w:top w:w="100" w:type="dxa"/>
              <w:start w:w="110" w:type="dxa"/>
              <w:bottom w:w="100" w:type="dxa"/>
              <w:end w:w="110" w:type="dxa"/>
            </w:tcMar>
          </w:tcPr>
          <w:p>
            <w:r>
              <w:t>Réduire délai et abandon sans masquer la responsabilité</w:t>
            </w:r>
          </w:p>
        </w:tc>
        <w:tc>
          <w:tcPr>
            <w:tcW w:type="dxa" w:w="3230"/>
            <w:vAlign w:val="center"/>
            <w:tcMar>
              <w:top w:w="100" w:type="dxa"/>
              <w:start w:w="110" w:type="dxa"/>
              <w:bottom w:w="100" w:type="dxa"/>
              <w:end w:w="110" w:type="dxa"/>
            </w:tcMar>
          </w:tcPr>
          <w:p>
            <w:r>
              <w:t>Parcours existant et défenseur simple</w:t>
            </w:r>
          </w:p>
        </w:tc>
      </w:tr>
      <w:tr>
        <w:tc>
          <w:tcPr>
            <w:tcW w:type="dxa" w:w="3230"/>
            <w:vAlign w:val="center"/>
            <w:tcMar>
              <w:top w:w="100" w:type="dxa"/>
              <w:start w:w="110" w:type="dxa"/>
              <w:bottom w:w="100" w:type="dxa"/>
              <w:end w:w="110" w:type="dxa"/>
            </w:tcMar>
            <w:shd w:fill="EEF4F0"/>
          </w:tcPr>
          <w:p>
            <w:r>
              <w:t>Commandement</w:t>
            </w:r>
          </w:p>
        </w:tc>
        <w:tc>
          <w:tcPr>
            <w:tcW w:type="dxa" w:w="3230"/>
            <w:vAlign w:val="center"/>
            <w:tcMar>
              <w:top w:w="100" w:type="dxa"/>
              <w:start w:w="110" w:type="dxa"/>
              <w:bottom w:w="100" w:type="dxa"/>
              <w:end w:w="110" w:type="dxa"/>
            </w:tcMar>
            <w:shd w:fill="EEF4F0"/>
          </w:tcPr>
          <w:p>
            <w:r>
              <w:t>Coordonner vite puis restituer effectivement</w:t>
            </w:r>
          </w:p>
        </w:tc>
        <w:tc>
          <w:tcPr>
            <w:tcW w:type="dxa" w:w="3230"/>
            <w:vAlign w:val="center"/>
            <w:tcMar>
              <w:top w:w="100" w:type="dxa"/>
              <w:start w:w="110" w:type="dxa"/>
              <w:bottom w:w="100" w:type="dxa"/>
              <w:end w:w="110" w:type="dxa"/>
            </w:tcMar>
            <w:shd w:fill="EEF4F0"/>
          </w:tcPr>
          <w:p>
            <w:r>
              <w:t>Centre unique et coordination locale</w:t>
            </w:r>
          </w:p>
        </w:tc>
      </w:tr>
      <w:tr>
        <w:tc>
          <w:tcPr>
            <w:tcW w:type="dxa" w:w="3230"/>
            <w:vAlign w:val="center"/>
            <w:tcMar>
              <w:top w:w="100" w:type="dxa"/>
              <w:start w:w="110" w:type="dxa"/>
              <w:bottom w:w="100" w:type="dxa"/>
              <w:end w:w="110" w:type="dxa"/>
            </w:tcMar>
          </w:tcPr>
          <w:p>
            <w:r>
              <w:t>Polycrise</w:t>
            </w:r>
          </w:p>
        </w:tc>
        <w:tc>
          <w:tcPr>
            <w:tcW w:type="dxa" w:w="3230"/>
            <w:vAlign w:val="center"/>
            <w:tcMar>
              <w:top w:w="100" w:type="dxa"/>
              <w:start w:w="110" w:type="dxa"/>
              <w:bottom w:w="100" w:type="dxa"/>
              <w:end w:w="110" w:type="dxa"/>
            </w:tcMar>
          </w:tcPr>
          <w:p>
            <w:r>
              <w:t>Maintenir plusieurs garanties sous ressources communes dégradées</w:t>
            </w:r>
          </w:p>
        </w:tc>
        <w:tc>
          <w:tcPr>
            <w:tcW w:type="dxa" w:w="3230"/>
            <w:vAlign w:val="center"/>
            <w:tcMar>
              <w:top w:w="100" w:type="dxa"/>
              <w:start w:w="110" w:type="dxa"/>
              <w:bottom w:w="100" w:type="dxa"/>
              <w:end w:w="110" w:type="dxa"/>
            </w:tcMar>
          </w:tcPr>
          <w:p>
            <w:r>
              <w:t>Architecture simple à priorités explicites</w:t>
            </w:r>
          </w:p>
        </w:tc>
      </w:tr>
    </w:tbl>
    <w:p/>
    <w:p>
      <w:r>
        <w:t>Les budgets d’information et d’action doivent être appariés. Les résultats restent vectoriels : une réduction de délai ne compense pas une perte de droit ; une meilleure moyenne ne compense pas une privation concentrée ; une continuité immédiate ne compense pas une concentration irréversible.</w:t>
      </w:r>
    </w:p>
    <w:p>
      <w:pPr>
        <w:pStyle w:val="Heading2"/>
      </w:pPr>
      <w:r>
        <w:t>16 La première consultation expérimentale</w:t>
      </w:r>
    </w:p>
    <w:p>
      <w:r>
        <w:t>Une première arène hydrique de soixante-douze heures est préparée. Elle compare une instance CCT à un rival territorial plus simple sur les mêmes ressources, pertes de réseau, incertitudes et contraintes. Elle ne commande aucune distribution réelle.</w:t>
      </w:r>
    </w:p>
    <w:p>
      <w:r>
        <w:t>Deux équipes extérieures doivent soumettre leurs décisions sous des racines de collecte, de financement et d’implémentation distinctes. Deux réviseurs séparés examinent leur indépendance documentée. Trois moteurs préenregistrés recalculent les résultats sous hypothèses prudente, nominale et de perturbation prolongée.</w:t>
      </w:r>
    </w:p>
    <w:p>
      <w:r>
        <w:t>Une victoire n’est robuste que si tous les moteurs admissibles conservent le même dominant. Une inversion produit une contradiction entre modèles ; un avantage croisé produit une conclusion indécise. Les mesures de droits, charge, récupération et concentration restent des proxys à calibrer, non des vérités de terrain.</w:t>
      </w:r>
    </w:p>
    <w:p>
      <w:pPr>
        <w:pStyle w:val="Heading1"/>
      </w:pPr>
      <w:r>
        <w:t>Sixième partie Gouvernance de la transition</w:t>
      </w:r>
    </w:p>
    <w:p>
      <w:pPr>
        <w:pStyle w:val="Heading2"/>
      </w:pPr>
      <w:r>
        <w:t>17 Une voie de passage sans adoption implicite</w:t>
      </w:r>
    </w:p>
    <w:p>
      <w:r>
        <w:t>Le passage de la recherche à une expérimentation doit suivre des états séparés : proposition, écriture, financement, capacité, test, autorisation, déploiement, observation après charge, contestation, correction et retrait. Aucun état ne doit être déduit du précédent.</w:t>
      </w:r>
    </w:p>
    <w:p>
      <w:r>
        <w:t>La séquence candidate est la suivante : consultation ouverte ; exercices externes en mode fantôme ; comparaison indépendante ; publication des écarts ; éventuellement pilote réversible dans un territoire volontaire ; réobservation après retrait de l’équipe conceptrice ; variation entre contextes ; décision politique distincte.</w:t>
      </w:r>
    </w:p>
    <w:p>
      <w:r>
        <w:t>Un pilote territorial ne peut pas être autorisé par la CCT elle-même. Il exige un acteur légalement compétent, un refus sans perte de droits, une contre-expertise indépendante, un arrêt exercé, une restauration préparée, un fonds de réparation garanti et une minimisation des données.</w:t>
      </w:r>
    </w:p>
    <w:p>
      <w:pPr>
        <w:pStyle w:val="Heading2"/>
      </w:pPr>
      <w:r>
        <w:t>18 Financement propriété et prévention de la capture</w:t>
      </w:r>
    </w:p>
    <w:p>
      <w:r>
        <w:t>Le financement donne du pouvoir lorsqu’il détermine l’agenda, le rythme, les données, les critères ou la survie d’une institution. Les registres doivent donc identifier financeurs décisifs, propriétaires effectifs, opérateurs de clés, détenteurs de veto et dépendances techniques. Plusieurs entités juridiquement distinctes peuvent former un seul centre effectif.</w:t>
      </w:r>
    </w:p>
    <w:p>
      <w:r>
        <w:t>La diversité nominale des financeurs ne suffit pas. La consultation doit décider des plafonds de dépendance, des règles de retrait, du financement de la contradiction et de la continuité après perte d’un bailleur. Une expérimentation dont la réparation dépend du financement contesté ne satisfait pas la porte d’admission.</w:t>
      </w:r>
    </w:p>
    <w:p>
      <w:r/>
      <w:r>
        <w:rPr>
          <w:b/>
        </w:rPr>
        <w:t>Questions</w:t>
      </w:r>
      <w:r/>
    </w:p>
    <w:p>
      <w:pPr>
        <w:pStyle w:val="ListBullet"/>
      </w:pPr>
      <w:r>
        <w:t>Quel plafond de dépendance envers un financeur ou une infrastructure est acceptable ?</w:t>
      </w:r>
    </w:p>
    <w:p>
      <w:pPr>
        <w:pStyle w:val="ListBullet"/>
      </w:pPr>
      <w:r>
        <w:t>Qui finance durablement le recours et la contre-expertise ?</w:t>
      </w:r>
    </w:p>
    <w:p>
      <w:pPr>
        <w:pStyle w:val="ListBullet"/>
      </w:pPr>
      <w:r>
        <w:t>Quelles informations financières doivent être publiques sans exposer inutilement les personnes ?</w:t>
      </w:r>
    </w:p>
    <w:p>
      <w:pPr>
        <w:pStyle w:val="Heading2"/>
      </w:pPr>
      <w:r>
        <w:t>19 Travail charge administrative et autonomie</w:t>
      </w:r>
    </w:p>
    <w:p>
      <w:r>
        <w:t>La complexité constitue un coût politique. Chaque nouvelle protection consomme du temps, des compétences et de l’attention. Ce travail est souvent déplacé vers les usagers, les soignants, les agents locaux et les personnes déjà exposées.</w:t>
      </w:r>
    </w:p>
    <w:p>
      <w:r>
        <w:t>La CCT propose un budget de charge constitutionnelle. En régime ordinaire, les procédures secondaires doivent pouvoir être suspendues. L’accès vital, la trace minimale, le recours contre la coercition, les plafonds critiques et la preuve de restitution restent obligatoires. Le défenseur public absorbe une partie de la complexité sans devenir le détenteur unique des dossiers et des décisions.</w:t>
      </w:r>
    </w:p>
    <w:p>
      <w:r/>
      <w:r>
        <w:rPr>
          <w:b/>
        </w:rPr>
        <w:t>Questions</w:t>
      </w:r>
      <w:r/>
    </w:p>
    <w:p>
      <w:pPr>
        <w:pStyle w:val="ListBullet"/>
      </w:pPr>
      <w:r>
        <w:t>Quelle charge maximale peut être imposée à une personne pour exercer un droit ?</w:t>
      </w:r>
    </w:p>
    <w:p>
      <w:pPr>
        <w:pStyle w:val="ListBullet"/>
      </w:pPr>
      <w:r>
        <w:t>Quels contrôles deviennent optionnels en crise et qui le décide ?</w:t>
      </w:r>
    </w:p>
    <w:p>
      <w:pPr>
        <w:pStyle w:val="ListBullet"/>
      </w:pPr>
      <w:r>
        <w:t>Comment mesurer la dépendance créée par les métiers de contrôle eux-mêmes ?</w:t>
      </w:r>
    </w:p>
    <w:p>
      <w:pPr>
        <w:pStyle w:val="Heading1"/>
      </w:pPr>
      <w:r>
        <w:t>Septième partie Décisions ouvertes</w:t>
      </w:r>
    </w:p>
    <w:p>
      <w:pPr>
        <w:pStyle w:val="Heading2"/>
      </w:pPr>
      <w:r>
        <w:t>20 Matrice de consultation</w:t>
      </w:r>
    </w:p>
    <w:tbl>
      <w:tblPr>
        <w:tblW w:type="auto" w:w="0"/>
        <w:tblLayout w:type="autofit"/>
        <w:tblLook w:firstColumn="1" w:firstRow="1" w:lastColumn="0" w:lastRow="0" w:noHBand="0" w:noVBand="1" w:val="04A0"/>
      </w:tblPr>
      <w:tblGrid>
        <w:gridCol w:w="2422"/>
        <w:gridCol w:w="2422"/>
        <w:gridCol w:w="2422"/>
        <w:gridCol w:w="2422"/>
      </w:tblGrid>
      <w:tr>
        <w:trPr>
          <w:tblHeader w:val="true"/>
        </w:trPr>
        <w:tc>
          <w:tcPr>
            <w:tcW w:type="dxa" w:w="2422"/>
            <w:vAlign w:val="center"/>
            <w:tcMar>
              <w:top w:w="100" w:type="dxa"/>
              <w:start w:w="110" w:type="dxa"/>
              <w:bottom w:w="100" w:type="dxa"/>
              <w:end w:w="110" w:type="dxa"/>
            </w:tcMar>
            <w:shd w:fill="315B46"/>
          </w:tcPr>
          <w:p>
            <w:r>
              <w:rPr>
                <w:b/>
                <w:color w:val="FFFFFF"/>
              </w:rPr>
              <w:t>Décision</w:t>
            </w:r>
          </w:p>
        </w:tc>
        <w:tc>
          <w:tcPr>
            <w:tcW w:type="dxa" w:w="2422"/>
            <w:vAlign w:val="center"/>
            <w:tcMar>
              <w:top w:w="100" w:type="dxa"/>
              <w:start w:w="110" w:type="dxa"/>
              <w:bottom w:w="100" w:type="dxa"/>
              <w:end w:w="110" w:type="dxa"/>
            </w:tcMar>
            <w:shd w:fill="315B46"/>
          </w:tcPr>
          <w:p>
            <w:r>
              <w:rPr>
                <w:b/>
                <w:color w:val="FFFFFF"/>
              </w:rPr>
              <w:t>Orientation candidate</w:t>
            </w:r>
          </w:p>
        </w:tc>
        <w:tc>
          <w:tcPr>
            <w:tcW w:type="dxa" w:w="2422"/>
            <w:vAlign w:val="center"/>
            <w:tcMar>
              <w:top w:w="100" w:type="dxa"/>
              <w:start w:w="110" w:type="dxa"/>
              <w:bottom w:w="100" w:type="dxa"/>
              <w:end w:w="110" w:type="dxa"/>
            </w:tcMar>
            <w:shd w:fill="315B46"/>
          </w:tcPr>
          <w:p>
            <w:r>
              <w:rPr>
                <w:b/>
                <w:color w:val="FFFFFF"/>
              </w:rPr>
              <w:t>Alternative sérieuse</w:t>
            </w:r>
          </w:p>
        </w:tc>
        <w:tc>
          <w:tcPr>
            <w:tcW w:type="dxa" w:w="2422"/>
            <w:vAlign w:val="center"/>
            <w:tcMar>
              <w:top w:w="100" w:type="dxa"/>
              <w:start w:w="110" w:type="dxa"/>
              <w:bottom w:w="100" w:type="dxa"/>
              <w:end w:w="110" w:type="dxa"/>
            </w:tcMar>
            <w:shd w:fill="315B46"/>
          </w:tcPr>
          <w:p>
            <w:r>
              <w:rPr>
                <w:b/>
                <w:color w:val="FFFFFF"/>
              </w:rPr>
              <w:t>Résultat qui ferait réviser</w:t>
            </w:r>
          </w:p>
        </w:tc>
      </w:tr>
      <w:tr>
        <w:tc>
          <w:tcPr>
            <w:tcW w:type="dxa" w:w="2422"/>
            <w:vAlign w:val="center"/>
            <w:tcMar>
              <w:top w:w="100" w:type="dxa"/>
              <w:start w:w="110" w:type="dxa"/>
              <w:bottom w:w="100" w:type="dxa"/>
              <w:end w:w="110" w:type="dxa"/>
            </w:tcMar>
          </w:tcPr>
          <w:p>
            <w:r>
              <w:t>Échelle mondiale</w:t>
            </w:r>
          </w:p>
        </w:tc>
        <w:tc>
          <w:tcPr>
            <w:tcW w:type="dxa" w:w="2422"/>
            <w:vAlign w:val="center"/>
            <w:tcMar>
              <w:top w:w="100" w:type="dxa"/>
              <w:start w:w="110" w:type="dxa"/>
              <w:bottom w:w="100" w:type="dxa"/>
              <w:end w:w="110" w:type="dxa"/>
            </w:tcMar>
          </w:tcPr>
          <w:p>
            <w:r>
              <w:t>Compétences fermées avec exception temporaire</w:t>
            </w:r>
          </w:p>
        </w:tc>
        <w:tc>
          <w:tcPr>
            <w:tcW w:type="dxa" w:w="2422"/>
            <w:vAlign w:val="center"/>
            <w:tcMar>
              <w:top w:w="100" w:type="dxa"/>
              <w:start w:w="110" w:type="dxa"/>
              <w:bottom w:w="100" w:type="dxa"/>
              <w:end w:w="110" w:type="dxa"/>
            </w:tcMar>
          </w:tcPr>
          <w:p>
            <w:r>
              <w:t>Fédération mondiale plus intégrée</w:t>
            </w:r>
          </w:p>
        </w:tc>
        <w:tc>
          <w:tcPr>
            <w:tcW w:type="dxa" w:w="2422"/>
            <w:vAlign w:val="center"/>
            <w:tcMar>
              <w:top w:w="100" w:type="dxa"/>
              <w:start w:w="110" w:type="dxa"/>
              <w:bottom w:w="100" w:type="dxa"/>
              <w:end w:w="110" w:type="dxa"/>
            </w:tcMar>
          </w:tcPr>
          <w:p>
            <w:r>
              <w:t>Incapacité répétée à contenir un dommage transfrontalier</w:t>
            </w:r>
          </w:p>
        </w:tc>
      </w:tr>
      <w:tr>
        <w:tc>
          <w:tcPr>
            <w:tcW w:type="dxa" w:w="2422"/>
            <w:vAlign w:val="center"/>
            <w:tcMar>
              <w:top w:w="100" w:type="dxa"/>
              <w:start w:w="110" w:type="dxa"/>
              <w:bottom w:w="100" w:type="dxa"/>
              <w:end w:w="110" w:type="dxa"/>
            </w:tcMar>
            <w:shd w:fill="EEF4F0"/>
          </w:tcPr>
          <w:p>
            <w:r>
              <w:t>Économie</w:t>
            </w:r>
          </w:p>
        </w:tc>
        <w:tc>
          <w:tcPr>
            <w:tcW w:type="dxa" w:w="2422"/>
            <w:vAlign w:val="center"/>
            <w:tcMar>
              <w:top w:w="100" w:type="dxa"/>
              <w:start w:w="110" w:type="dxa"/>
              <w:bottom w:w="100" w:type="dxa"/>
              <w:end w:w="110" w:type="dxa"/>
            </w:tcMar>
            <w:shd w:fill="EEF4F0"/>
          </w:tcPr>
          <w:p>
            <w:r>
              <w:t>Démarchandisation fonctionnelle du vital</w:t>
            </w:r>
          </w:p>
        </w:tc>
        <w:tc>
          <w:tcPr>
            <w:tcW w:type="dxa" w:w="2422"/>
            <w:vAlign w:val="center"/>
            <w:tcMar>
              <w:top w:w="100" w:type="dxa"/>
              <w:start w:w="110" w:type="dxa"/>
              <w:bottom w:w="100" w:type="dxa"/>
              <w:end w:w="110" w:type="dxa"/>
            </w:tcMar>
            <w:shd w:fill="EEF4F0"/>
          </w:tcPr>
          <w:p>
            <w:r>
              <w:t>Liste sectorielle stricte</w:t>
            </w:r>
          </w:p>
        </w:tc>
        <w:tc>
          <w:tcPr>
            <w:tcW w:type="dxa" w:w="2422"/>
            <w:vAlign w:val="center"/>
            <w:tcMar>
              <w:top w:w="100" w:type="dxa"/>
              <w:start w:w="110" w:type="dxa"/>
              <w:bottom w:w="100" w:type="dxa"/>
              <w:end w:w="110" w:type="dxa"/>
            </w:tcMar>
            <w:shd w:fill="EEF4F0"/>
          </w:tcPr>
          <w:p>
            <w:r>
              <w:t>Reclassements capturés ou sécurité d’usage affaiblie</w:t>
            </w:r>
          </w:p>
        </w:tc>
      </w:tr>
      <w:tr>
        <w:tc>
          <w:tcPr>
            <w:tcW w:type="dxa" w:w="2422"/>
            <w:vAlign w:val="center"/>
            <w:tcMar>
              <w:top w:w="100" w:type="dxa"/>
              <w:start w:w="110" w:type="dxa"/>
              <w:bottom w:w="100" w:type="dxa"/>
              <w:end w:w="110" w:type="dxa"/>
            </w:tcMar>
          </w:tcPr>
          <w:p>
            <w:r>
              <w:t>Planification</w:t>
            </w:r>
          </w:p>
        </w:tc>
        <w:tc>
          <w:tcPr>
            <w:tcW w:type="dxa" w:w="2422"/>
            <w:vAlign w:val="center"/>
            <w:tcMar>
              <w:top w:w="100" w:type="dxa"/>
              <w:start w:w="110" w:type="dxa"/>
              <w:bottom w:w="100" w:type="dxa"/>
              <w:end w:w="110" w:type="dxa"/>
            </w:tcMar>
          </w:tcPr>
          <w:p>
            <w:r>
              <w:t>Corridor à deux régimes</w:t>
            </w:r>
          </w:p>
        </w:tc>
        <w:tc>
          <w:tcPr>
            <w:tcW w:type="dxa" w:w="2422"/>
            <w:vAlign w:val="center"/>
            <w:tcMar>
              <w:top w:w="100" w:type="dxa"/>
              <w:start w:w="110" w:type="dxa"/>
              <w:bottom w:w="100" w:type="dxa"/>
              <w:end w:w="110" w:type="dxa"/>
            </w:tcMar>
          </w:tcPr>
          <w:p>
            <w:r>
              <w:t>Plan de quantités ou marché borné</w:t>
            </w:r>
          </w:p>
        </w:tc>
        <w:tc>
          <w:tcPr>
            <w:tcW w:type="dxa" w:w="2422"/>
            <w:vAlign w:val="center"/>
            <w:tcMar>
              <w:top w:w="100" w:type="dxa"/>
              <w:start w:w="110" w:type="dxa"/>
              <w:bottom w:w="100" w:type="dxa"/>
              <w:end w:w="110" w:type="dxa"/>
            </w:tcMar>
          </w:tcPr>
          <w:p>
            <w:r>
              <w:t>Rival protégeant autant avec charge nettement moindre</w:t>
            </w:r>
          </w:p>
        </w:tc>
      </w:tr>
      <w:tr>
        <w:tc>
          <w:tcPr>
            <w:tcW w:type="dxa" w:w="2422"/>
            <w:vAlign w:val="center"/>
            <w:tcMar>
              <w:top w:w="100" w:type="dxa"/>
              <w:start w:w="110" w:type="dxa"/>
              <w:bottom w:w="100" w:type="dxa"/>
              <w:end w:w="110" w:type="dxa"/>
            </w:tcMar>
            <w:shd w:fill="EEF4F0"/>
          </w:tcPr>
          <w:p>
            <w:r>
              <w:t>Droits</w:t>
            </w:r>
          </w:p>
        </w:tc>
        <w:tc>
          <w:tcPr>
            <w:tcW w:type="dxa" w:w="2422"/>
            <w:vAlign w:val="center"/>
            <w:tcMar>
              <w:top w:w="100" w:type="dxa"/>
              <w:start w:w="110" w:type="dxa"/>
              <w:bottom w:w="100" w:type="dxa"/>
              <w:end w:w="110" w:type="dxa"/>
            </w:tcMar>
            <w:shd w:fill="EEF4F0"/>
          </w:tcPr>
          <w:p>
            <w:r>
              <w:t>Droits portables et porte unique</w:t>
            </w:r>
          </w:p>
        </w:tc>
        <w:tc>
          <w:tcPr>
            <w:tcW w:type="dxa" w:w="2422"/>
            <w:vAlign w:val="center"/>
            <w:tcMar>
              <w:top w:w="100" w:type="dxa"/>
              <w:start w:w="110" w:type="dxa"/>
              <w:bottom w:w="100" w:type="dxa"/>
              <w:end w:w="110" w:type="dxa"/>
            </w:tcMar>
            <w:shd w:fill="EEF4F0"/>
          </w:tcPr>
          <w:p>
            <w:r>
              <w:t>Harmonisation interterritoriale</w:t>
            </w:r>
          </w:p>
        </w:tc>
        <w:tc>
          <w:tcPr>
            <w:tcW w:type="dxa" w:w="2422"/>
            <w:vAlign w:val="center"/>
            <w:tcMar>
              <w:top w:w="100" w:type="dxa"/>
              <w:start w:w="110" w:type="dxa"/>
              <w:bottom w:w="100" w:type="dxa"/>
              <w:end w:w="110" w:type="dxa"/>
            </w:tcMar>
            <w:shd w:fill="EEF4F0"/>
          </w:tcPr>
          <w:p>
            <w:r>
              <w:t>Responsable masqué ou délai d’usage non réduit</w:t>
            </w:r>
          </w:p>
        </w:tc>
      </w:tr>
      <w:tr>
        <w:tc>
          <w:tcPr>
            <w:tcW w:type="dxa" w:w="2422"/>
            <w:vAlign w:val="center"/>
            <w:tcMar>
              <w:top w:w="100" w:type="dxa"/>
              <w:start w:w="110" w:type="dxa"/>
              <w:bottom w:w="100" w:type="dxa"/>
              <w:end w:w="110" w:type="dxa"/>
            </w:tcMar>
          </w:tcPr>
          <w:p>
            <w:r>
              <w:t>Urgence</w:t>
            </w:r>
          </w:p>
        </w:tc>
        <w:tc>
          <w:tcPr>
            <w:tcW w:type="dxa" w:w="2422"/>
            <w:vAlign w:val="center"/>
            <w:tcMar>
              <w:top w:w="100" w:type="dxa"/>
              <w:start w:w="110" w:type="dxa"/>
              <w:bottom w:w="100" w:type="dxa"/>
              <w:end w:w="110" w:type="dxa"/>
            </w:tcMar>
          </w:tcPr>
          <w:p>
            <w:r>
              <w:t>Commandement temporaire séparé</w:t>
            </w:r>
          </w:p>
        </w:tc>
        <w:tc>
          <w:tcPr>
            <w:tcW w:type="dxa" w:w="2422"/>
            <w:vAlign w:val="center"/>
            <w:tcMar>
              <w:top w:w="100" w:type="dxa"/>
              <w:start w:w="110" w:type="dxa"/>
              <w:bottom w:w="100" w:type="dxa"/>
              <w:end w:w="110" w:type="dxa"/>
            </w:tcMar>
          </w:tcPr>
          <w:p>
            <w:r>
              <w:t>Centre unique ou coordination locale</w:t>
            </w:r>
          </w:p>
        </w:tc>
        <w:tc>
          <w:tcPr>
            <w:tcW w:type="dxa" w:w="2422"/>
            <w:vAlign w:val="center"/>
            <w:tcMar>
              <w:top w:w="100" w:type="dxa"/>
              <w:start w:w="110" w:type="dxa"/>
              <w:bottom w:w="100" w:type="dxa"/>
              <w:end w:w="110" w:type="dxa"/>
            </w:tcMar>
          </w:tcPr>
          <w:p>
            <w:r>
              <w:t>Protection trop lente ou restitution inexécutable</w:t>
            </w:r>
          </w:p>
        </w:tc>
      </w:tr>
      <w:tr>
        <w:tc>
          <w:tcPr>
            <w:tcW w:type="dxa" w:w="2422"/>
            <w:vAlign w:val="center"/>
            <w:tcMar>
              <w:top w:w="100" w:type="dxa"/>
              <w:start w:w="110" w:type="dxa"/>
              <w:bottom w:w="100" w:type="dxa"/>
              <w:end w:w="110" w:type="dxa"/>
            </w:tcMar>
            <w:shd w:fill="EEF4F0"/>
          </w:tcPr>
          <w:p>
            <w:r>
              <w:t>Contrôle</w:t>
            </w:r>
          </w:p>
        </w:tc>
        <w:tc>
          <w:tcPr>
            <w:tcW w:type="dxa" w:w="2422"/>
            <w:vAlign w:val="center"/>
            <w:tcMar>
              <w:top w:w="100" w:type="dxa"/>
              <w:start w:w="110" w:type="dxa"/>
              <w:bottom w:w="100" w:type="dxa"/>
              <w:end w:w="110" w:type="dxa"/>
            </w:tcMar>
            <w:shd w:fill="EEF4F0"/>
          </w:tcPr>
          <w:p>
            <w:r>
              <w:t>Intensité proportionnelle au risque</w:t>
            </w:r>
          </w:p>
        </w:tc>
        <w:tc>
          <w:tcPr>
            <w:tcW w:type="dxa" w:w="2422"/>
            <w:vAlign w:val="center"/>
            <w:tcMar>
              <w:top w:w="100" w:type="dxa"/>
              <w:start w:w="110" w:type="dxa"/>
              <w:bottom w:w="100" w:type="dxa"/>
              <w:end w:w="110" w:type="dxa"/>
            </w:tcMar>
            <w:shd w:fill="EEF4F0"/>
          </w:tcPr>
          <w:p>
            <w:r>
              <w:t>Contrôle uniforme</w:t>
            </w:r>
          </w:p>
        </w:tc>
        <w:tc>
          <w:tcPr>
            <w:tcW w:type="dxa" w:w="2422"/>
            <w:vAlign w:val="center"/>
            <w:tcMar>
              <w:top w:w="100" w:type="dxa"/>
              <w:start w:w="110" w:type="dxa"/>
              <w:bottom w:w="100" w:type="dxa"/>
              <w:end w:w="110" w:type="dxa"/>
            </w:tcMar>
            <w:shd w:fill="EEF4F0"/>
          </w:tcPr>
          <w:p>
            <w:r>
              <w:t>Angle mort systématique dans le régime léger</w:t>
            </w:r>
          </w:p>
        </w:tc>
      </w:tr>
      <w:tr>
        <w:tc>
          <w:tcPr>
            <w:tcW w:type="dxa" w:w="2422"/>
            <w:vAlign w:val="center"/>
            <w:tcMar>
              <w:top w:w="100" w:type="dxa"/>
              <w:start w:w="110" w:type="dxa"/>
              <w:bottom w:w="100" w:type="dxa"/>
              <w:end w:w="110" w:type="dxa"/>
            </w:tcMar>
          </w:tcPr>
          <w:p>
            <w:r>
              <w:t>Transition</w:t>
            </w:r>
          </w:p>
        </w:tc>
        <w:tc>
          <w:tcPr>
            <w:tcW w:type="dxa" w:w="2422"/>
            <w:vAlign w:val="center"/>
            <w:tcMar>
              <w:top w:w="100" w:type="dxa"/>
              <w:start w:w="110" w:type="dxa"/>
              <w:bottom w:w="100" w:type="dxa"/>
              <w:end w:w="110" w:type="dxa"/>
            </w:tcMar>
          </w:tcPr>
          <w:p>
            <w:r>
              <w:t>Porte de capacité et cellule bornée</w:t>
            </w:r>
          </w:p>
        </w:tc>
        <w:tc>
          <w:tcPr>
            <w:tcW w:type="dxa" w:w="2422"/>
            <w:vAlign w:val="center"/>
            <w:tcMar>
              <w:top w:w="100" w:type="dxa"/>
              <w:start w:w="110" w:type="dxa"/>
              <w:bottom w:w="100" w:type="dxa"/>
              <w:end w:w="110" w:type="dxa"/>
            </w:tcMar>
          </w:tcPr>
          <w:p>
            <w:r>
              <w:t>Calendrier fixe</w:t>
            </w:r>
          </w:p>
        </w:tc>
        <w:tc>
          <w:tcPr>
            <w:tcW w:type="dxa" w:w="2422"/>
            <w:vAlign w:val="center"/>
            <w:tcMar>
              <w:top w:w="100" w:type="dxa"/>
              <w:start w:w="110" w:type="dxa"/>
              <w:bottom w:w="100" w:type="dxa"/>
              <w:end w:w="110" w:type="dxa"/>
            </w:tcMar>
          </w:tcPr>
          <w:p>
            <w:r>
              <w:t>Blocage durable sans gain de continuité</w:t>
            </w:r>
          </w:p>
        </w:tc>
      </w:tr>
      <w:tr>
        <w:tc>
          <w:tcPr>
            <w:tcW w:type="dxa" w:w="2422"/>
            <w:vAlign w:val="center"/>
            <w:tcMar>
              <w:top w:w="100" w:type="dxa"/>
              <w:start w:w="110" w:type="dxa"/>
              <w:bottom w:w="100" w:type="dxa"/>
              <w:end w:w="110" w:type="dxa"/>
            </w:tcMar>
            <w:shd w:fill="EEF4F0"/>
          </w:tcPr>
          <w:p>
            <w:r>
              <w:t>Expérimentation</w:t>
            </w:r>
          </w:p>
        </w:tc>
        <w:tc>
          <w:tcPr>
            <w:tcW w:type="dxa" w:w="2422"/>
            <w:vAlign w:val="center"/>
            <w:tcMar>
              <w:top w:w="100" w:type="dxa"/>
              <w:start w:w="110" w:type="dxa"/>
              <w:bottom w:w="100" w:type="dxa"/>
              <w:end w:w="110" w:type="dxa"/>
            </w:tcMar>
            <w:shd w:fill="EEF4F0"/>
          </w:tcPr>
          <w:p>
            <w:r>
              <w:t>Mode fantôme comparatif</w:t>
            </w:r>
          </w:p>
        </w:tc>
        <w:tc>
          <w:tcPr>
            <w:tcW w:type="dxa" w:w="2422"/>
            <w:vAlign w:val="center"/>
            <w:tcMar>
              <w:top w:w="100" w:type="dxa"/>
              <w:start w:w="110" w:type="dxa"/>
              <w:bottom w:w="100" w:type="dxa"/>
              <w:end w:w="110" w:type="dxa"/>
            </w:tcMar>
            <w:shd w:fill="EEF4F0"/>
          </w:tcPr>
          <w:p>
            <w:r>
              <w:t>Rejeu documentaire</w:t>
            </w:r>
          </w:p>
        </w:tc>
        <w:tc>
          <w:tcPr>
            <w:tcW w:type="dxa" w:w="2422"/>
            <w:vAlign w:val="center"/>
            <w:tcMar>
              <w:top w:w="100" w:type="dxa"/>
              <w:start w:w="110" w:type="dxa"/>
              <w:bottom w:w="100" w:type="dxa"/>
              <w:end w:w="110" w:type="dxa"/>
            </w:tcMar>
            <w:shd w:fill="EEF4F0"/>
          </w:tcPr>
          <w:p>
            <w:r>
              <w:t>Assistance des auteurs indispensable ou moteur impossible à geler</w:t>
            </w:r>
          </w:p>
        </w:tc>
      </w:tr>
    </w:tbl>
    <w:p/>
    <w:p>
      <w:pPr>
        <w:pStyle w:val="Heading2"/>
      </w:pPr>
      <w:r>
        <w:t>21 Conditions de révision et d’abandon</w:t>
      </w:r>
    </w:p>
    <w:p>
      <w:r>
        <w:t>La CCT doit être profondément révisée ou abandonnée si des observations indépendantes montrent durablement que ses collèges paralysent les crises, que ses communs deviennent des corporations, que la subsidiarité exporte les dommages, que les corridors créent plus de privations que leurs rivaux, que les droits portables n’offrent aucune sortie réelle, que les urgences ne rendent pas leurs pouvoirs ou que la complexité produit davantage de dépendance que de contrôle.</w:t>
      </w:r>
    </w:p>
    <w:p>
      <w:r>
        <w:t>L’abandon d’un mécanisme CCT ne valide pas automatiquement l’État souverain, le marché ou la centralisation. Chaque rival doit publier ses propres pertes. La question n’est pas de sauver une étiquette mais de protéger les conditions matérielles d’une vie libre avec le moins de domination et de dommages déplacés possible.</w:t>
      </w:r>
    </w:p>
    <w:p>
      <w:pPr>
        <w:pStyle w:val="Heading2"/>
      </w:pPr>
      <w:r>
        <w:t>22 Questions finales adressées à la consultation</w:t>
      </w:r>
    </w:p>
    <w:p>
      <w:pPr>
        <w:ind w:left="369" w:hanging="255"/>
      </w:pPr>
      <w:r>
        <w:t>1. Quelles fonctions doivent absolument rester territoriales ?</w:t>
      </w:r>
    </w:p>
    <w:p>
      <w:pPr>
        <w:ind w:left="369" w:hanging="255"/>
      </w:pPr>
      <w:r>
        <w:t>2. Quelles ressources exigent un commun fonctionnel transfrontalier ?</w:t>
      </w:r>
    </w:p>
    <w:p>
      <w:pPr>
        <w:ind w:left="369" w:hanging="255"/>
      </w:pPr>
      <w:r>
        <w:t>3. Quelles compétences mondiales peuvent être fermées dans une liste exhaustive ?</w:t>
      </w:r>
    </w:p>
    <w:p>
      <w:pPr>
        <w:ind w:left="369" w:hanging="255"/>
      </w:pPr>
      <w:r>
        <w:t>4. Quel minimum vital doit être opposable immédiatement ?</w:t>
      </w:r>
    </w:p>
    <w:p>
      <w:pPr>
        <w:ind w:left="369" w:hanging="255"/>
      </w:pPr>
      <w:r>
        <w:t>5. Quels plafonds écologiques doivent suspendre automatiquement une décision ?</w:t>
      </w:r>
    </w:p>
    <w:p>
      <w:pPr>
        <w:ind w:left="369" w:hanging="255"/>
      </w:pPr>
      <w:r>
        <w:t>6. Comment reconnaître une socialisation qui ne transfère aucune capacité réelle ?</w:t>
      </w:r>
    </w:p>
    <w:p>
      <w:pPr>
        <w:ind w:left="369" w:hanging="255"/>
      </w:pPr>
      <w:r>
        <w:t>7. Quel degré de marché résiduel reste compatible avec l’absence de veto économique ?</w:t>
      </w:r>
    </w:p>
    <w:p>
      <w:pPr>
        <w:ind w:left="369" w:hanging="255"/>
      </w:pPr>
      <w:r>
        <w:t>8. Quelle charge administrative maximale est acceptable pour exercer un droit ?</w:t>
      </w:r>
    </w:p>
    <w:p>
      <w:pPr>
        <w:ind w:left="369" w:hanging="255"/>
      </w:pPr>
      <w:r>
        <w:t>9. Quels pouvoirs d’urgence doivent être techniquement impossibles à cumuler ?</w:t>
      </w:r>
    </w:p>
    <w:p>
      <w:pPr>
        <w:ind w:left="369" w:hanging="255"/>
      </w:pPr>
      <w:r>
        <w:t>10. Quelle preuve de restitution est exigée avant une crise réelle ?</w:t>
      </w:r>
    </w:p>
    <w:p>
      <w:pPr>
        <w:ind w:left="369" w:hanging="255"/>
      </w:pPr>
      <w:r>
        <w:t>11. Comment financer la contradiction et le recours indépendamment du décideur ?</w:t>
      </w:r>
    </w:p>
    <w:p>
      <w:pPr>
        <w:ind w:left="369" w:hanging="255"/>
      </w:pPr>
      <w:r>
        <w:t>12. Quel rival plus simple doit accompagner chaque prototype CCT ?</w:t>
      </w:r>
    </w:p>
    <w:p>
      <w:pPr>
        <w:ind w:left="369" w:hanging="255"/>
      </w:pPr>
      <w:r>
        <w:t>13. Quelles populations et dépendances sont encore absentes du modèle ?</w:t>
      </w:r>
    </w:p>
    <w:p>
      <w:pPr>
        <w:ind w:left="369" w:hanging="255"/>
      </w:pPr>
      <w:r>
        <w:t>14. Quel résultat conduirait à abandonner la CCT plutôt qu’à l’amender ?</w:t>
      </w:r>
    </w:p>
    <w:p>
      <w:pPr>
        <w:pStyle w:val="Heading2"/>
      </w:pPr>
      <w:r>
        <w:t>Conclusion</w:t>
      </w:r>
    </w:p>
    <w:p>
      <w:r>
        <w:t>La CCT ne vaut pas par la quantité de ses institutions ni par la sophistication de ses contrôles. Elle ne mérite d’être poursuivie que si elle permet à une personne, dans une situation dégradée, de continuer à vivre, de comprendre la décision, de la contester, d’arrêter une domination et d’obtenir réparation, sans déplacer silencieusement la perte vers d’autres personnes, territoires ou écosystèmes.</w:t>
      </w:r>
    </w:p>
    <w:p>
      <w:r>
        <w:t>Le présent Livre Vert propose donc une méthode politique avant un programme d’adoption : exposer les choix, comparer des rivaux, limiter les pouvoirs, publier les pertes et conserver les conditions de retrait. La prochaine étape légitime n’est pas le déploiement. C’est une consultation contradictoire et une expérimentation externe en mode fantôme dont la CCT peut réellement sortir perdante.</w:t>
      </w:r>
    </w:p>
    <w:p>
      <w:pPr>
        <w:pStyle w:val="Heading1"/>
      </w:pPr>
      <w:r>
        <w:t>Annexes</w:t>
      </w:r>
    </w:p>
    <w:p>
      <w:pPr>
        <w:pStyle w:val="Heading2"/>
      </w:pPr>
      <w:r>
        <w:t>Annexe A Statut des éléments principaux</w:t>
      </w:r>
    </w:p>
    <w:tbl>
      <w:tblPr>
        <w:tblW w:type="auto" w:w="0"/>
        <w:tblLayout w:type="autofit"/>
        <w:tblLook w:firstColumn="1" w:firstRow="1" w:lastColumn="0" w:lastRow="0" w:noHBand="0" w:noVBand="1" w:val="04A0"/>
      </w:tblPr>
      <w:tblGrid>
        <w:gridCol w:w="4844"/>
        <w:gridCol w:w="4844"/>
      </w:tblGrid>
      <w:tr>
        <w:trPr>
          <w:tblHeader w:val="true"/>
        </w:trPr>
        <w:tc>
          <w:tcPr>
            <w:tcW w:type="dxa" w:w="4844"/>
            <w:vAlign w:val="center"/>
            <w:tcMar>
              <w:top w:w="100" w:type="dxa"/>
              <w:start w:w="110" w:type="dxa"/>
              <w:bottom w:w="100" w:type="dxa"/>
              <w:end w:w="110" w:type="dxa"/>
            </w:tcMar>
            <w:shd w:fill="315B46"/>
          </w:tcPr>
          <w:p>
            <w:r>
              <w:rPr>
                <w:b/>
                <w:color w:val="FFFFFF"/>
              </w:rPr>
              <w:t>Élément</w:t>
            </w:r>
          </w:p>
        </w:tc>
        <w:tc>
          <w:tcPr>
            <w:tcW w:type="dxa" w:w="4844"/>
            <w:vAlign w:val="center"/>
            <w:tcMar>
              <w:top w:w="100" w:type="dxa"/>
              <w:start w:w="110" w:type="dxa"/>
              <w:bottom w:w="100" w:type="dxa"/>
              <w:end w:w="110" w:type="dxa"/>
            </w:tcMar>
            <w:shd w:fill="315B46"/>
          </w:tcPr>
          <w:p>
            <w:r>
              <w:rPr>
                <w:b/>
                <w:color w:val="FFFFFF"/>
              </w:rPr>
              <w:t>Statut établi</w:t>
            </w:r>
          </w:p>
        </w:tc>
      </w:tr>
      <w:tr>
        <w:tc>
          <w:tcPr>
            <w:tcW w:type="dxa" w:w="4844"/>
            <w:vAlign w:val="center"/>
            <w:tcMar>
              <w:top w:w="100" w:type="dxa"/>
              <w:start w:w="110" w:type="dxa"/>
              <w:bottom w:w="100" w:type="dxa"/>
              <w:end w:w="110" w:type="dxa"/>
            </w:tcMar>
          </w:tcPr>
          <w:p>
            <w:r>
              <w:t>Architecture politique</w:t>
            </w:r>
          </w:p>
        </w:tc>
        <w:tc>
          <w:tcPr>
            <w:tcW w:type="dxa" w:w="4844"/>
            <w:vAlign w:val="center"/>
            <w:tcMar>
              <w:top w:w="100" w:type="dxa"/>
              <w:start w:w="110" w:type="dxa"/>
              <w:bottom w:w="100" w:type="dxa"/>
              <w:end w:w="110" w:type="dxa"/>
            </w:tcMar>
          </w:tcPr>
          <w:p>
            <w:r>
              <w:t>Écrite et partiellement testée synthétiquement</w:t>
            </w:r>
          </w:p>
        </w:tc>
      </w:tr>
      <w:tr>
        <w:tc>
          <w:tcPr>
            <w:tcW w:type="dxa" w:w="4844"/>
            <w:vAlign w:val="center"/>
            <w:tcMar>
              <w:top w:w="100" w:type="dxa"/>
              <w:start w:w="110" w:type="dxa"/>
              <w:bottom w:w="100" w:type="dxa"/>
              <w:end w:w="110" w:type="dxa"/>
            </w:tcMar>
            <w:shd w:fill="EEF4F0"/>
          </w:tcPr>
          <w:p>
            <w:r>
              <w:t>CCT POL 1.1</w:t>
            </w:r>
          </w:p>
        </w:tc>
        <w:tc>
          <w:tcPr>
            <w:tcW w:type="dxa" w:w="4844"/>
            <w:vAlign w:val="center"/>
            <w:tcMar>
              <w:top w:w="100" w:type="dxa"/>
              <w:start w:w="110" w:type="dxa"/>
              <w:bottom w:w="100" w:type="dxa"/>
              <w:end w:w="110" w:type="dxa"/>
            </w:tcMar>
            <w:shd w:fill="EEF4F0"/>
          </w:tcPr>
          <w:p>
            <w:r>
              <w:t>Révision politique candidate</w:t>
            </w:r>
          </w:p>
        </w:tc>
      </w:tr>
      <w:tr>
        <w:tc>
          <w:tcPr>
            <w:tcW w:type="dxa" w:w="4844"/>
            <w:vAlign w:val="center"/>
            <w:tcMar>
              <w:top w:w="100" w:type="dxa"/>
              <w:start w:w="110" w:type="dxa"/>
              <w:bottom w:w="100" w:type="dxa"/>
              <w:end w:w="110" w:type="dxa"/>
            </w:tcMar>
          </w:tcPr>
          <w:p>
            <w:r>
              <w:t>CCT EXEC 10.35</w:t>
            </w:r>
          </w:p>
        </w:tc>
        <w:tc>
          <w:tcPr>
            <w:tcW w:type="dxa" w:w="4844"/>
            <w:vAlign w:val="center"/>
            <w:tcMar>
              <w:top w:w="100" w:type="dxa"/>
              <w:start w:w="110" w:type="dxa"/>
              <w:bottom w:w="100" w:type="dxa"/>
              <w:end w:w="110" w:type="dxa"/>
            </w:tcMar>
          </w:tcPr>
          <w:p>
            <w:r>
              <w:t>Référence autoritative interne de recherche</w:t>
            </w:r>
          </w:p>
        </w:tc>
      </w:tr>
      <w:tr>
        <w:tc>
          <w:tcPr>
            <w:tcW w:type="dxa" w:w="4844"/>
            <w:vAlign w:val="center"/>
            <w:tcMar>
              <w:top w:w="100" w:type="dxa"/>
              <w:start w:w="110" w:type="dxa"/>
              <w:bottom w:w="100" w:type="dxa"/>
              <w:end w:w="110" w:type="dxa"/>
            </w:tcMar>
            <w:shd w:fill="EEF4F0"/>
          </w:tcPr>
          <w:p>
            <w:r>
              <w:t>Indépendance des preuves extérieures</w:t>
            </w:r>
          </w:p>
        </w:tc>
        <w:tc>
          <w:tcPr>
            <w:tcW w:type="dxa" w:w="4844"/>
            <w:vAlign w:val="center"/>
            <w:tcMar>
              <w:top w:w="100" w:type="dxa"/>
              <w:start w:w="110" w:type="dxa"/>
              <w:bottom w:w="100" w:type="dxa"/>
              <w:end w:w="110" w:type="dxa"/>
            </w:tcMar>
            <w:shd w:fill="EEF4F0"/>
          </w:tcPr>
          <w:p>
            <w:r>
              <w:t>Inconnue</w:t>
            </w:r>
          </w:p>
        </w:tc>
      </w:tr>
      <w:tr>
        <w:tc>
          <w:tcPr>
            <w:tcW w:type="dxa" w:w="4844"/>
            <w:vAlign w:val="center"/>
            <w:tcMar>
              <w:top w:w="100" w:type="dxa"/>
              <w:start w:w="110" w:type="dxa"/>
              <w:bottom w:w="100" w:type="dxa"/>
              <w:end w:w="110" w:type="dxa"/>
            </w:tcMar>
          </w:tcPr>
          <w:p>
            <w:r>
              <w:t>Livre blanc</w:t>
            </w:r>
          </w:p>
        </w:tc>
        <w:tc>
          <w:tcPr>
            <w:tcW w:type="dxa" w:w="4844"/>
            <w:vAlign w:val="center"/>
            <w:tcMar>
              <w:top w:w="100" w:type="dxa"/>
              <w:start w:w="110" w:type="dxa"/>
              <w:bottom w:w="100" w:type="dxa"/>
              <w:end w:w="110" w:type="dxa"/>
            </w:tcMar>
          </w:tcPr>
          <w:p>
            <w:r>
              <w:t>Écrit et rendu localement</w:t>
            </w:r>
          </w:p>
        </w:tc>
      </w:tr>
      <w:tr>
        <w:tc>
          <w:tcPr>
            <w:tcW w:type="dxa" w:w="4844"/>
            <w:vAlign w:val="center"/>
            <w:tcMar>
              <w:top w:w="100" w:type="dxa"/>
              <w:start w:w="110" w:type="dxa"/>
              <w:bottom w:w="100" w:type="dxa"/>
              <w:end w:w="110" w:type="dxa"/>
            </w:tcMar>
            <w:shd w:fill="EEF4F0"/>
          </w:tcPr>
          <w:p>
            <w:r>
              <w:t>Livre Vert</w:t>
            </w:r>
          </w:p>
        </w:tc>
        <w:tc>
          <w:tcPr>
            <w:tcW w:type="dxa" w:w="4844"/>
            <w:vAlign w:val="center"/>
            <w:tcMar>
              <w:top w:w="100" w:type="dxa"/>
              <w:start w:w="110" w:type="dxa"/>
              <w:bottom w:w="100" w:type="dxa"/>
              <w:end w:w="110" w:type="dxa"/>
            </w:tcMar>
            <w:shd w:fill="EEF4F0"/>
          </w:tcPr>
          <w:p>
            <w:r>
              <w:t>Document de consultation</w:t>
            </w:r>
          </w:p>
        </w:tc>
      </w:tr>
      <w:tr>
        <w:tc>
          <w:tcPr>
            <w:tcW w:type="dxa" w:w="4844"/>
            <w:vAlign w:val="center"/>
            <w:tcMar>
              <w:top w:w="100" w:type="dxa"/>
              <w:start w:w="110" w:type="dxa"/>
              <w:bottom w:w="100" w:type="dxa"/>
              <w:end w:w="110" w:type="dxa"/>
            </w:tcMar>
          </w:tcPr>
          <w:p>
            <w:r>
              <w:t>Autorisation territoriale</w:t>
            </w:r>
          </w:p>
        </w:tc>
        <w:tc>
          <w:tcPr>
            <w:tcW w:type="dxa" w:w="4844"/>
            <w:vAlign w:val="center"/>
            <w:tcMar>
              <w:top w:w="100" w:type="dxa"/>
              <w:start w:w="110" w:type="dxa"/>
              <w:bottom w:w="100" w:type="dxa"/>
              <w:end w:w="110" w:type="dxa"/>
            </w:tcMar>
          </w:tcPr>
          <w:p>
            <w:r>
              <w:t>Non établie</w:t>
            </w:r>
          </w:p>
        </w:tc>
      </w:tr>
      <w:tr>
        <w:tc>
          <w:tcPr>
            <w:tcW w:type="dxa" w:w="4844"/>
            <w:vAlign w:val="center"/>
            <w:tcMar>
              <w:top w:w="100" w:type="dxa"/>
              <w:start w:w="110" w:type="dxa"/>
              <w:bottom w:w="100" w:type="dxa"/>
              <w:end w:w="110" w:type="dxa"/>
            </w:tcMar>
            <w:shd w:fill="EEF4F0"/>
          </w:tcPr>
          <w:p>
            <w:r>
              <w:t>Financement opérationnel</w:t>
            </w:r>
          </w:p>
        </w:tc>
        <w:tc>
          <w:tcPr>
            <w:tcW w:type="dxa" w:w="4844"/>
            <w:vAlign w:val="center"/>
            <w:tcMar>
              <w:top w:w="100" w:type="dxa"/>
              <w:start w:w="110" w:type="dxa"/>
              <w:bottom w:w="100" w:type="dxa"/>
              <w:end w:w="110" w:type="dxa"/>
            </w:tcMar>
            <w:shd w:fill="EEF4F0"/>
          </w:tcPr>
          <w:p>
            <w:r>
              <w:t>Non établi</w:t>
            </w:r>
          </w:p>
        </w:tc>
      </w:tr>
      <w:tr>
        <w:tc>
          <w:tcPr>
            <w:tcW w:type="dxa" w:w="4844"/>
            <w:vAlign w:val="center"/>
            <w:tcMar>
              <w:top w:w="100" w:type="dxa"/>
              <w:start w:w="110" w:type="dxa"/>
              <w:bottom w:w="100" w:type="dxa"/>
              <w:end w:w="110" w:type="dxa"/>
            </w:tcMar>
          </w:tcPr>
          <w:p>
            <w:r>
              <w:t>Déploiement réel</w:t>
            </w:r>
          </w:p>
        </w:tc>
        <w:tc>
          <w:tcPr>
            <w:tcW w:type="dxa" w:w="4844"/>
            <w:vAlign w:val="center"/>
            <w:tcMar>
              <w:top w:w="100" w:type="dxa"/>
              <w:start w:w="110" w:type="dxa"/>
              <w:bottom w:w="100" w:type="dxa"/>
              <w:end w:w="110" w:type="dxa"/>
            </w:tcMar>
          </w:tcPr>
          <w:p>
            <w:r>
              <w:t>Non établi</w:t>
            </w:r>
          </w:p>
        </w:tc>
      </w:tr>
      <w:tr>
        <w:tc>
          <w:tcPr>
            <w:tcW w:type="dxa" w:w="4844"/>
            <w:vAlign w:val="center"/>
            <w:tcMar>
              <w:top w:w="100" w:type="dxa"/>
              <w:start w:w="110" w:type="dxa"/>
              <w:bottom w:w="100" w:type="dxa"/>
              <w:end w:w="110" w:type="dxa"/>
            </w:tcMar>
            <w:shd w:fill="EEF4F0"/>
          </w:tcPr>
          <w:p>
            <w:r>
              <w:t>Effet causal territorial</w:t>
            </w:r>
          </w:p>
        </w:tc>
        <w:tc>
          <w:tcPr>
            <w:tcW w:type="dxa" w:w="4844"/>
            <w:vAlign w:val="center"/>
            <w:tcMar>
              <w:top w:w="100" w:type="dxa"/>
              <w:start w:w="110" w:type="dxa"/>
              <w:bottom w:w="100" w:type="dxa"/>
              <w:end w:w="110" w:type="dxa"/>
            </w:tcMar>
            <w:shd w:fill="EEF4F0"/>
          </w:tcPr>
          <w:p>
            <w:r>
              <w:t>Non établi</w:t>
            </w:r>
          </w:p>
        </w:tc>
      </w:tr>
    </w:tbl>
    <w:p/>
    <w:p>
      <w:pPr>
        <w:pStyle w:val="Heading2"/>
      </w:pPr>
      <w:r>
        <w:t>Annexe B Sources internes principales</w:t>
      </w:r>
    </w:p>
    <w:p>
      <w:pPr>
        <w:pStyle w:val="ListBullet"/>
      </w:pPr>
      <w:r>
        <w:t>Modèle de gouvernance écosocialiste et libertaire v0.13.</w:t>
      </w:r>
    </w:p>
    <w:p>
      <w:pPr>
        <w:pStyle w:val="ListBullet"/>
      </w:pPr>
      <w:r>
        <w:t>CCT POL 1.1 Révision de doctrine.</w:t>
      </w:r>
    </w:p>
    <w:p>
      <w:pPr>
        <w:pStyle w:val="ListBullet"/>
      </w:pPr>
      <w:r>
        <w:t>Sept destructions et reconstructions de la CCT.</w:t>
      </w:r>
    </w:p>
    <w:p>
      <w:pPr>
        <w:pStyle w:val="ListBullet"/>
      </w:pPr>
      <w:r>
        <w:t>Livre blanc de la CCT et annexes expérimentales.</w:t>
      </w:r>
    </w:p>
    <w:p>
      <w:pPr>
        <w:pStyle w:val="ListBullet"/>
      </w:pPr>
      <w:r>
        <w:t>CCT NCE 0.14 et consolidation CCT POL 1.0.</w:t>
      </w:r>
    </w:p>
    <w:p>
      <w:pPr>
        <w:pStyle w:val="ListBullet"/>
      </w:pPr>
      <w:r>
        <w:t>Laboratoire de gouvernance et blueprint de crise.</w:t>
      </w:r>
    </w:p>
    <w:p>
      <w:pPr>
        <w:pStyle w:val="ListBullet"/>
      </w:pPr>
      <w:r>
        <w:t>Lignée CCT EXEC 1.4 à 10.35 et état canonique du 10 septembre 2026.</w:t>
      </w:r>
    </w:p>
    <w:p>
      <w:pPr>
        <w:pStyle w:val="ListBullet"/>
      </w:pPr>
      <w:r>
        <w:t>Pilote externe minimal CCT contre rival simple v0.1.</w:t>
      </w:r>
    </w:p>
    <w:p>
      <w:r>
        <w:t>Ces sources documentent la conception et ses tests internes. Elles ne constituent pas un corpus indépendant d’observations sociales ou territoriales.</w:t>
      </w:r>
    </w:p>
    <w:sectPr w:rsidR="00FC693F" w:rsidRPr="0006063C" w:rsidSect="00034616">
      <w:footerReference w:type="default" r:id="rId9"/>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Livre Vert de la Confédération des communs terrestres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 Vert de la Confédération des communs terrestres</dc:title>
  <dc:subject>Consultation sur les choix institutionnels et les épreuves à conduire</dc:subject>
  <dc:creator>Projet de recherche CCT</dc:creator>
  <cp:keywords/>
  <dc:description>generated by python-docx</dc:description>
  <cp:lastModifiedBy/>
  <cp:revision>1</cp:revision>
  <dcterms:created xsi:type="dcterms:W3CDTF">2013-12-23T23:15:00Z</dcterms:created>
  <dcterms:modified xsi:type="dcterms:W3CDTF">2013-12-23T23:15:00Z</dcterms:modified>
  <cp:category/>
</cp:coreProperties>
</file>