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5,180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Checked on 14 September 2026. The Senate voted on competing extension proposals on 11 December 2025 and neither reached 60 votes. On 8 January 2026 the House passed a three-year extension by 230 to 196. No Senate passage was found as of the date above; a bipartisan Senate bill restoring the credits for two years with minimum payments and income caps had been reported as near completion in January (Association of State and Territorial Health Officials, 2026).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as reported by the Congressional Research Service (2026),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(2025, 2026).</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2026).</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Research Service (2026).</w:t>
      </w:r>
      <w:r>
        <w:t xml:space="preserve"> </w:t>
      </w:r>
      <w:r>
        <w:rPr>
          <w:i/>
          <w:iCs/>
        </w:rPr>
        <w:t xml:space="preserve">Enhanced Premium Tax Credit and 2026 Exchange Premiums: Frequently Asked Questions</w:t>
      </w:r>
      <w:r>
        <w:t xml:space="preserve">. Report R48290. Accessed 14 September 2026.</w:t>
      </w:r>
    </w:p>
    <w:p>
      <w:pPr>
        <w:pStyle w:val="Compact"/>
        <w:numPr>
          <w:ilvl w:val="0"/>
          <w:numId w:val="1001"/>
        </w:numPr>
      </w:pPr>
      <w:r>
        <w:t xml:space="preserve">Association of State and Territorial Health Officials (2026).</w:t>
      </w:r>
      <w:r>
        <w:t xml:space="preserve"> </w:t>
      </w:r>
      <w:r>
        <w:rPr>
          <w:i/>
          <w:iCs/>
        </w:rPr>
        <w:t xml:space="preserve">ACA Enhanced Premium Tax Credits: Legislative Developments in 2025 and 2026</w:t>
      </w:r>
      <w:r>
        <w:t xml:space="preserve">. 20 January 2026. Accessed 14 September 2026.</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2026-09-16T04:33:45Z</dcterms:created>
  <dcterms:modified xsi:type="dcterms:W3CDTF">2026-09-16T04:33:45Z</dcterms:modified>
</cp:coreProperties>
</file>

<file path=docProps/custom.xml><?xml version="1.0" encoding="utf-8"?>
<Properties xmlns="http://schemas.openxmlformats.org/officeDocument/2006/custom-properties" xmlns:vt="http://schemas.openxmlformats.org/officeDocument/2006/docPropsVTypes"/>
</file>