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3.png" ContentType="image/png"/>
  <Override PartName="/word/media/rId41.png" ContentType="image/png"/>
  <Override PartName="/word/media/rId2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0ff443719ce4b040c17069bc38f7d50145abc3b"/>
    <w:p>
      <w:pPr>
        <w:pStyle w:val="Heading1"/>
      </w:pPr>
      <w:r>
        <w:t xml:space="preserve">Interpretable and Fair Machine Learning for Health-Cost Prediction and Risk Adjustment: A Reproducible Benchmark on Public Data and an Open-Source Toolkit</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3,906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set what health plans are paid for each enrollee. A formula that underpredicts a group’s spending gives plans a reason to avoid it, and one that responds strongly to recorded diagnoses rewards intensive coding. Machine-learning methods promise accuracy; their fairness and coding sensitivity are rarely evaluated together on public data.</w:t>
      </w:r>
    </w:p>
    <w:p>
      <w:pPr>
        <w:pStyle w:val="BodyText"/>
      </w:pPr>
      <w:r>
        <w:rPr>
          <w:b/>
          <w:bCs/>
        </w:rPr>
        <w:t xml:space="preserve">Methods.</w:t>
      </w:r>
      <w:r>
        <w:t xml:space="preserve"> </w:t>
      </w:r>
      <w:r>
        <w:t xml:space="preserve">We built a prospective benchmark from five two-year MEPS panels (43,568 persons, 2018 to 2023): year-1 demographics, diagnoses and use predict year-2 total spending. Nine models, from weighted least squares to gradient boosting and a combined actuarial neural network, were evaluated by cluster-aware cross-validation on accuracy, group net compensation, an accuracy-fairness frontier, SHAP drivers and response to simulated coding intensity. The code is released as a Python package.</w:t>
      </w:r>
    </w:p>
    <w:p>
      <w:pPr>
        <w:pStyle w:val="BodyText"/>
      </w:pPr>
      <w:r>
        <w:rPr>
          <w:b/>
          <w:bCs/>
        </w:rPr>
        <w:t xml:space="preserve">Results.</w:t>
      </w:r>
      <w:r>
        <w:t xml:space="preserve"> </w:t>
      </w:r>
      <w:r>
        <w:t xml:space="preserve">Gradient boosting reached an out-of-sample R² of 0.195 (95% interval 0.161 to 0.245) against 0.125 for weighted least squares. Every model underpaid people who need help with daily activities, by $4,949 to $9,508 per person-year on a mean cost of $29,881. A stacked estimator feeding a cross-fitted boosting score into a constrained regression cut that gap to $210 at an R² of 0.178; constraining the linear formula cost a quarter of its R². Both constraints shifted $2,156 to $3,342 of overpayment onto enrollees aged 65 and over. Boosting raised its prediction by $693 per added chronic code; the linear formula by $1,292.</w:t>
      </w:r>
    </w:p>
    <w:p>
      <w:pPr>
        <w:pStyle w:val="BodyText"/>
      </w:pPr>
      <w:r>
        <w:rPr>
          <w:b/>
          <w:bCs/>
        </w:rPr>
        <w:t xml:space="preserve">Conclusions.</w:t>
      </w:r>
      <w:r>
        <w:t xml:space="preserve"> </w:t>
      </w:r>
      <w:r>
        <w:t xml:space="preserve">Flexible models are more accurate, no less fair, and less coding-sensitive than the linear standard here. Fairness constraints work but move money between groups and must be reported for all groups.</w:t>
      </w:r>
    </w:p>
    <w:p>
      <w:pPr>
        <w:pStyle w:val="BodyText"/>
      </w:pPr>
      <w:r>
        <w:rPr>
          <w:b/>
          <w:bCs/>
        </w:rPr>
        <w:t xml:space="preserve">Keywords.</w:t>
      </w:r>
      <w:r>
        <w:t xml:space="preserve"> </w:t>
      </w:r>
      <w:r>
        <w:t xml:space="preserve">risk adjustment; machine learning; algorithmic fairness; net compensation; coding intensity; SHAP; MEPS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Risk adjustment moves several hundred billion dollars a year. In Medicare Advantage, plan payments are scaled by a risk score built from enrollee demographics and diagnoses; in the Affordable Care Act individual and small-group markets, risk scores drive transfers between insurers (Pope et al., 2004; Kautter et al., 2014). The formulas behind these scores are linear regressions of spending on demographic cells and hierarchical condition categories, and their accuracy, measured as R² on individual spending, sits between 0.1 and 0.3.</w:t>
      </w:r>
    </w:p>
    <w:p>
      <w:pPr>
        <w:pStyle w:val="BodyText"/>
      </w:pPr>
      <w:r>
        <w:t xml:space="preserve">Three problems with these formulas are well documented and are usually studied separately. First, they leave predictable variation on the table, and flexible machine-learning methods can recover some of it (Rose, 2016; Duncan, Loginov and Ludkovski, 2016; Irvin et al., 2020; Andriola et al., 2024). Second, they underpredict spending for identifiable groups, which gives plans a financial reason to avoid those groups; constrained and penalized regressions can remove the underprediction at a cost in overall fit (Zink and Rose, 2020; McGuire, Zink and Rose, 2021; Bergquist et al., 2019). Third, they respond to what is recorded rather than what is true, so more thorough diagnosis coding raises payment without raising cost. The Medicare Payment Advisory Commission has repeatedly attributed a large part of the gap between Medicare Advantage payments and fee-for-service spending to coding intensity (MedPAC, 2025), and the phase-in of the V28 CMS-HCC model removed several discretionary condition categories in response.</w:t>
      </w:r>
    </w:p>
    <w:p>
      <w:pPr>
        <w:pStyle w:val="BodyText"/>
      </w:pPr>
      <w:r>
        <w:t xml:space="preserve">This paper evaluates the three properties together, on public data, with released code. Using five two-year panels of the Medical Expenditure Panel Survey (MEPS), we predict each person’s next-year spending from current-year information and compare nine models: weighted least squares in the form payment formulas take, a Tweedie generalized linear model, a two-part model, an elastic net, gradient boosting with two objectives, a random forest, a feed-forward network and a combined actuarial neural network. We ask four questions.</w:t>
      </w:r>
    </w:p>
    <w:p>
      <w:pPr>
        <w:pStyle w:val="Compact"/>
        <w:numPr>
          <w:ilvl w:val="0"/>
          <w:numId w:val="1001"/>
        </w:numPr>
      </w:pPr>
      <w:r>
        <w:t xml:space="preserve">RQ1. How much more accurately do flexible models predict next-year spending than the linear payment form, and where in the distribution do the gains come from?</w:t>
      </w:r>
    </w:p>
    <w:p>
      <w:pPr>
        <w:pStyle w:val="Compact"/>
        <w:numPr>
          <w:ilvl w:val="0"/>
          <w:numId w:val="1001"/>
        </w:numPr>
      </w:pPr>
      <w:r>
        <w:t xml:space="preserve">RQ2. Which groups does each model under- or overpay, and how much accuracy does it cost to close the gaps?</w:t>
      </w:r>
    </w:p>
    <w:p>
      <w:pPr>
        <w:pStyle w:val="Compact"/>
        <w:numPr>
          <w:ilvl w:val="0"/>
          <w:numId w:val="1001"/>
        </w:numPr>
      </w:pPr>
      <w:r>
        <w:t xml:space="preserve">RQ3. What drives the flexible models’ predictions, and are the drivers stable and sensible?</w:t>
      </w:r>
    </w:p>
    <w:p>
      <w:pPr>
        <w:pStyle w:val="Compact"/>
        <w:numPr>
          <w:ilvl w:val="0"/>
          <w:numId w:val="1001"/>
        </w:numPr>
      </w:pPr>
      <w:r>
        <w:t xml:space="preserve">RQ4. How much does each model’s payment rise when diagnosis coding becomes more intensive?</w:t>
      </w:r>
    </w:p>
    <w:p>
      <w:pPr>
        <w:pStyle w:val="FirstParagraph"/>
      </w:pPr>
      <w:r>
        <w:t xml:space="preserve">Two design choices distinguish the benchmark from most prior work. Cross-validation keeps MEPS primary sampling units whole, so no neighbourhood contributes to both training and test data; ignoring this overstates out-of-sample accuracy for any model that can memorize local effects. And race and ethnicity never enter a model: they are used only to evaluate what a model does to each group.</w:t>
      </w:r>
    </w:p>
    <w:p>
      <w:pPr>
        <w:pStyle w:val="BodyText"/>
      </w:pPr>
      <w:r>
        <w:t xml:space="preserve">The main results are that gradient boosting improves R² from 0.125 to 0.195 with the gains concentrated in calibration of the top spending decile; that every model, flexible or not, underpays people who need help with activities of daily living by several thousand dollars a year; that a stacked estimator which feeds a cross-fitted boosting score into a constrained regression closes those gaps at a small accuracy cost, while constraining the linear formula directly costs a quarter of its R²; that closing a gap for one group opens one for another; and that the linear formula, not the flexible models, is the most responsive to added diagnosis codes. The last point runs against a common assumption and follows from how each model uses the same information.</w:t>
      </w:r>
    </w:p>
    <w:bookmarkEnd w:id="10"/>
    <w:bookmarkStart w:id="11" w:name="background"/>
    <w:p>
      <w:pPr>
        <w:pStyle w:val="Heading2"/>
      </w:pPr>
      <w:r>
        <w:t xml:space="preserve">2. Background</w:t>
      </w:r>
    </w:p>
    <w:p>
      <w:pPr>
        <w:pStyle w:val="FirstParagraph"/>
      </w:pPr>
      <w:r>
        <w:rPr>
          <w:b/>
          <w:bCs/>
        </w:rPr>
        <w:t xml:space="preserve">Payment formulas.</w:t>
      </w:r>
      <w:r>
        <w:t xml:space="preserve"> </w:t>
      </w:r>
      <w:r>
        <w:t xml:space="preserve">The CMS-HCC and HHS-HCC models regress annual spending on age-sex cells and a set of hierarchical condition categories derived from diagnosis codes, with weighted least squares and coefficients constrained to be non-negative (Pope et al., 2004; Kautter et al., 2014). The linear additive form is chosen for transparency and for ease of administration. Ellis, Martins and Rose (2018) review the design choices and their evaluation.</w:t>
      </w:r>
    </w:p>
    <w:p>
      <w:pPr>
        <w:pStyle w:val="BodyText"/>
      </w:pPr>
      <w:r>
        <w:rPr>
          <w:b/>
          <w:bCs/>
        </w:rPr>
        <w:t xml:space="preserve">Machine learning for cost prediction.</w:t>
      </w:r>
      <w:r>
        <w:t xml:space="preserve"> </w:t>
      </w:r>
      <w:r>
        <w:t xml:space="preserve">Rose (2016) proposed an ensemble framework for plan payment and found modest gains over the linear standard on Truven claims. Duncan, Loginov and Ludkovski (2016) compared regression frameworks including boosting for health-cost prediction. Irvin et al. (2020) added social determinants to machine-learning risk adjustment. Andriola et al. (2024) introduced a learning algorithm for payment formulas that respects the constraints of a payment system. Wüthrich and Merz (2023) give the actuarial foundations of the models used here, and Schelldorfer and Wüthrich (2019) the combined actuarial neural network, in which a GLM’s linear predictor is a fixed skip connection and a network learns a correction.</w:t>
      </w:r>
    </w:p>
    <w:p>
      <w:pPr>
        <w:pStyle w:val="BodyText"/>
      </w:pPr>
      <w:r>
        <w:rPr>
          <w:b/>
          <w:bCs/>
        </w:rPr>
        <w:t xml:space="preserve">Fairness.</w:t>
      </w:r>
      <w:r>
        <w:t xml:space="preserve"> </w:t>
      </w:r>
      <w:r>
        <w:t xml:space="preserve">Zink and Rose (2020) defined net compensation, the difference between what a formula pays for a group and what the group costs, and proposed penalized regressions that shrink it. McGuire, Zink and Rose (2021) compared constrained regression, reinsurance and variable selection. Obermeyer et al. (2019) showed that a widely used algorithm trained on cost as a proxy for need systematically underrated Black patients, which is the reason the outcome here is spending and the interpretation is payment, not need.</w:t>
      </w:r>
    </w:p>
    <w:p>
      <w:pPr>
        <w:pStyle w:val="BodyText"/>
      </w:pPr>
      <w:r>
        <w:rPr>
          <w:b/>
          <w:bCs/>
        </w:rPr>
        <w:t xml:space="preserve">Coding intensity.</w:t>
      </w:r>
      <w:r>
        <w:t xml:space="preserve"> </w:t>
      </w:r>
      <w:r>
        <w:t xml:space="preserve">MedPAC (2025) estimated Medicare Advantage risk scores well above what the same beneficiaries would carry in fee-for-service, and CMS’s V28 model removed condition categories judged discretionary. The sensitivity of a payment formula to added codes is a property of the formula that can be measured directly, and Section 6.4 does so.</w:t>
      </w:r>
    </w:p>
    <w:bookmarkEnd w:id="11"/>
    <w:bookmarkStart w:id="12" w:name="data"/>
    <w:p>
      <w:pPr>
        <w:pStyle w:val="Heading2"/>
      </w:pPr>
      <w:r>
        <w:t xml:space="preserve">3. Data</w:t>
      </w:r>
    </w:p>
    <w:p>
      <w:pPr>
        <w:pStyle w:val="FirstParagraph"/>
      </w:pPr>
      <w:r>
        <w:rPr>
          <w:b/>
          <w:bCs/>
        </w:rPr>
        <w:t xml:space="preserve">Panels.</w:t>
      </w:r>
      <w:r>
        <w:t xml:space="preserve"> </w:t>
      </w:r>
      <w:r>
        <w:t xml:space="preserve">MEPS follows each panel of households for two calendar years. We used the two-year longitudinal files for panels 23 to 27, covering 2018-2019 through 2022-2023, and the Medical Conditions file for each panel’s first year. Panels 23 and 24 were later extended to three and four years; we used their original two-year files so that every person contributes one prospective pair with the two-year longitudinal weight.</w:t>
      </w:r>
    </w:p>
    <w:p>
      <w:pPr>
        <w:pStyle w:val="BodyText"/>
      </w:pPr>
      <w:r>
        <w:rPr>
          <w:b/>
          <w:bCs/>
        </w:rPr>
        <w:t xml:space="preserve">Sample.</w:t>
      </w:r>
      <w:r>
        <w:t xml:space="preserve"> </w:t>
      </w:r>
      <w:r>
        <w:t xml:space="preserve">A person enters if present in both years with a positive longitudinal weight and alive at the end of year 2 (Table A1). People who died in year 2 have partial-year outcomes; they are excluded from the primary sample and returned in robustness. The analysis sample is 43,568 persons representing 324.4 million a year.</w:t>
      </w:r>
    </w:p>
    <w:p>
      <w:pPr>
        <w:pStyle w:val="BodyText"/>
      </w:pPr>
      <w:r>
        <w:rPr>
          <w:b/>
          <w:bCs/>
        </w:rPr>
        <w:t xml:space="preserve">Outcome.</w:t>
      </w:r>
      <w:r>
        <w:t xml:space="preserve"> </w:t>
      </w:r>
      <w:r>
        <w:t xml:space="preserve">Year-2 total expenditure from all payers, in 2024 dollars using the CPI-U. The weighted mean is $7,538, the median $1,486, 15.0% spent nothing, and the top 5% of spenders account for 50.0% of spending (Table 1).</w:t>
      </w:r>
    </w:p>
    <w:p>
      <w:pPr>
        <w:pStyle w:val="BodyText"/>
      </w:pPr>
      <w:r>
        <w:rPr>
          <w:b/>
          <w:bCs/>
        </w:rPr>
        <w:t xml:space="preserve">Predictors.</w:t>
      </w:r>
      <w:r>
        <w:t xml:space="preserve"> </w:t>
      </w:r>
      <w:r>
        <w:t xml:space="preserve">All from year 1. Demographics: age band by sex and Census region. Conditions: AHRQ Clinical Classifications Software Refined (CCSR) categories from the conditions file, as binary flags for the 124 categories held by at least 0.5% of the sample (Table A6), plus counts of categories and body systems. MEPS assigns body-system placeholder codes (XXX000) where a diagnosis cannot be placed in a category; these are kept in the body-system count and excluded from flags and condition counts. Use: office visits, emergency visits, inpatient discharges, prescription fills and total spending, logged. Perceived health and mental health are taken from round 2 and help with activities of daily living (ADL) and instrumental activities (IADL) from round 1, because round 3 is interviewed in year 2 and would leak year-2 information.</w:t>
      </w:r>
    </w:p>
    <w:p>
      <w:pPr>
        <w:pStyle w:val="BodyText"/>
      </w:pPr>
      <w:r>
        <w:t xml:space="preserve">Four nested feature sets follow the spec: F1 demographics; F2 adds conditions; F3 adds prior use and spending; F4 adds income, insurance, perceived health and functional help. F3 is the primary set. Payment formulas in practice exclude prior spending, so F2 is the set closest to a deployable formula and is reported throughout.</w:t>
      </w:r>
    </w:p>
    <w:p>
      <w:pPr>
        <w:pStyle w:val="BodyText"/>
      </w:pPr>
      <w:r>
        <w:rPr>
          <w:b/>
          <w:bCs/>
        </w:rPr>
        <w:t xml:space="preserve">Groups for evaluation.</w:t>
      </w:r>
      <w:r>
        <w:t xml:space="preserve"> </w:t>
      </w:r>
      <w:r>
        <w:t xml:space="preserve">Income below 200% of the federal poverty level; Hispanic, non-Hispanic Black and non-Hispanic Asian; needs help with ADL or IADL; any mental or behavioural condition (CCSR MBD); age 65 and over; uninsured all year. Race and ethnicity are never model inputs. Three groups are targets for the fairness estimators: low income, mental health conditions and functional help, chosen because payment literature identifies them as under-compensated and because they are observable to a payer.</w:t>
      </w:r>
    </w:p>
    <w:p>
      <w:pPr>
        <w:pStyle w:val="BodyText"/>
      </w:pPr>
      <w:r>
        <w:rPr>
          <w:b/>
          <w:bCs/>
        </w:rPr>
        <w:t xml:space="preserve">CCSR limitation.</w:t>
      </w:r>
      <w:r>
        <w:t xml:space="preserve"> </w:t>
      </w:r>
      <w:r>
        <w:t xml:space="preserve">MEPS releases three-digit ICD-10-CM codes. CCSR categories built from them are coarser than the hierarchical condition categories of the CMS and HHS models, so the linear benchmark here approximates the form of a payment formula, not any specific formula.</w:t>
      </w:r>
    </w:p>
    <w:bookmarkEnd w:id="12"/>
    <w:bookmarkStart w:id="20" w:name="methods"/>
    <w:p>
      <w:pPr>
        <w:pStyle w:val="Heading2"/>
      </w:pPr>
      <w:r>
        <w:t xml:space="preserve">4. Methods</w:t>
      </w:r>
    </w:p>
    <w:bookmarkStart w:id="13" w:name="models"/>
    <w:p>
      <w:pPr>
        <w:pStyle w:val="Heading3"/>
      </w:pPr>
      <w:r>
        <w:t xml:space="preserve">4.1 Models</w:t>
      </w:r>
    </w:p>
    <w:p>
      <w:pPr>
        <w:pStyle w:val="FirstParagraph"/>
      </w:pPr>
      <w:r>
        <w:t xml:space="preserve">All models share one interface and are fitted with the MEPS longitudinal weight. WLS is weighted least squares on the features, the additive form of a payment formula. The Tweedie GLM has a log link and variance power 1.5. The two-part model multiplies a logistic probability of any spending by a gamma GLM for the amount. The elastic net is fitted on raw spending. Gradient boosting uses LightGBM with a Tweedie objective and, separately, a squared-error objective, the objective payment formulas optimize. The random forest uses 300 trees. The neural network has two hidden layers, a log link and Tweedie deviance loss. The combined actuarial neural network (CANN) adds the fitted Tweedie GLM’s linear predictor as a fixed offset and initializes the network’s output layer at zero, so it starts at the GLM and moves only where validation deviance improves.</w:t>
      </w:r>
    </w:p>
    <w:p>
      <w:pPr>
        <w:pStyle w:val="BodyText"/>
      </w:pPr>
      <w:r>
        <w:t xml:space="preserve">Multiplicative models do not satisfy the balance property that payments equal costs in total. Each is rescaled on its own training data so that weighted predictions sum to weighted spending, the correction any payment system applies.</w:t>
      </w:r>
    </w:p>
    <w:p>
      <w:pPr>
        <w:pStyle w:val="BodyText"/>
      </w:pPr>
      <w:r>
        <w:t xml:space="preserve">Every hyperparameter is chosen inside the training data of each outer fold. The GLM, two-part and elastic-net penalties are chosen by three inner cluster-disjoint folds; boosting and the networks use one inner split of whole clusters for early stopping and a small grid. No test observation influences any choice (Table A5 reports what was chosen).</w:t>
      </w:r>
    </w:p>
    <w:bookmarkEnd w:id="13"/>
    <w:bookmarkStart w:id="14" w:name="survey-aware-cross-validation"/>
    <w:p>
      <w:pPr>
        <w:pStyle w:val="Heading3"/>
      </w:pPr>
      <w:r>
        <w:t xml:space="preserve">4.2 Survey-aware cross-validation</w:t>
      </w:r>
    </w:p>
    <w:p>
      <w:pPr>
        <w:pStyle w:val="FirstParagraph"/>
      </w:pPr>
      <w:r>
        <w:t xml:space="preserve">Folds are formed from primary sampling units within strata within panel: PSUs are shuffled and dealt across five folds, so every fold draws from every stratum and no PSU is in both a training and a test set. The procedure is repeated three times with different assignments. Each person receives one out-of-fold prediction per repeat, and metrics are computed on the repeat-averaged predictions with weights. Intervals come from a bootstrap that resamples PSUs within strata, 200 replicates; the between-repeat spread of R² is reported alongside and is small (at most 0.008).</w:t>
      </w:r>
    </w:p>
    <w:bookmarkEnd w:id="14"/>
    <w:bookmarkStart w:id="15" w:name="metrics"/>
    <w:p>
      <w:pPr>
        <w:pStyle w:val="Heading3"/>
      </w:pPr>
      <w:r>
        <w:t xml:space="preserve">4.3 Metrics</w:t>
      </w:r>
    </w:p>
    <w:p>
      <w:pPr>
        <w:pStyle w:val="FirstParagraph"/>
      </w:pPr>
      <w:r>
        <w:t xml:space="preserve">Accuracy: weighted R², mean absolute error, Cumming’s prediction measure (the absolute-error analogue of R²), predictive ratios by decile of predicted spending, and the share of the true top 10% of spenders placed in the predicted top 10%.</w:t>
      </w:r>
    </w:p>
    <w:p>
      <w:pPr>
        <w:pStyle w:val="BodyText"/>
      </w:pPr>
      <w:r>
        <w:t xml:space="preserve">Fairness, following Zink and Rose (2020): for group G, the predictive ratio PR_G is weighted predicted over weighted observed spending, and net compensation NC_G is the weighted mean of prediction minus outcome. Negative NC_G means the group is underpaid.</w:t>
      </w:r>
    </w:p>
    <w:bookmarkEnd w:id="15"/>
    <w:bookmarkStart w:id="16" w:name="fairness-estimators"/>
    <w:p>
      <w:pPr>
        <w:pStyle w:val="Heading3"/>
      </w:pPr>
      <w:r>
        <w:t xml:space="preserve">4.4 Fairness estimators</w:t>
      </w:r>
    </w:p>
    <w:p>
      <w:pPr>
        <w:pStyle w:val="FirstParagraph"/>
      </w:pPr>
      <w:r>
        <w:t xml:space="preserve">Because NC_G is linear in the coefficients of a linear model, two estimators have exact solutions. Penalized WLS adds λ Σ_G NC_G² to the weighted squared-error loss, with λ scaled by the outcome variance so it is unit-free; constrained WLS imposes NC_G = 0 for each target group, the λ → ∞ limit, solved as a KKT system. Both are fitted over a grid of λ within the survey folds.</w:t>
      </w:r>
    </w:p>
    <w:p>
      <w:pPr>
        <w:pStyle w:val="BodyText"/>
      </w:pPr>
      <w:r>
        <w:t xml:space="preserve">For boosting we use a stacked form: a LightGBM score is cross-fitted within the training data (three cluster-disjoint folds, so no training row’s score was fitted to its own outcome), and the score enters a penalized or constrained regression together with the features. We tried adding the net-compensation penalty inside the boosting objective and rejected it: the penalty’s curvature is shared across a group, a diagonal Hessian either understates it (Newton steps diverge) or, if spread across members, damps the fitting of their own residuals, and in testing under-compensation of small high-cost groups worsened as the penalty rose. The stacked form keeps the boosted model’s accuracy in the score and puts the adjustment where it has an exact solution.</w:t>
      </w:r>
    </w:p>
    <w:p>
      <w:pPr>
        <w:pStyle w:val="BodyText"/>
      </w:pPr>
      <w:r>
        <w:t xml:space="preserve">As a group-neutral post-processing comparison, the Tweedie LightGBM’s predictions are recalibrated by decile of predicted spending, with factors estimated on the other folds’ out-of-fold predictions.</w:t>
      </w:r>
    </w:p>
    <w:p>
      <w:pPr>
        <w:pStyle w:val="BodyText"/>
      </w:pPr>
      <w:r>
        <w:t xml:space="preserve">Group membership enters estimation only through group means. It never enters the prediction formula, so a fair model pays by the same features as an unconstrained one.</w:t>
      </w:r>
    </w:p>
    <w:bookmarkEnd w:id="16"/>
    <w:bookmarkStart w:id="17" w:name="drivers"/>
    <w:p>
      <w:pPr>
        <w:pStyle w:val="Heading3"/>
      </w:pPr>
      <w:r>
        <w:t xml:space="preserve">4.5 Drivers</w:t>
      </w:r>
    </w:p>
    <w:p>
      <w:pPr>
        <w:pStyle w:val="FirstParagraph"/>
      </w:pPr>
      <w:r>
        <w:t xml:space="preserve">TreeSHAP values are computed for the squared-error LightGBM on up to 4,000 held-out persons per fold, from the model fitted on that fold’s training PSUs; the squared-error model is explained because its SHAP values are in dollars, and its accuracy equals the Tweedie model’s. Global importance is the weighted mean absolute SHAP value; stability is the Spearman correlation of importance ranks across folds. For the CANN, permutation importance on the held-out fold is used. Two sense checks test whether SHAP contributions rise with year-1 spending and with the number of conditions.</w:t>
      </w:r>
    </w:p>
    <w:bookmarkEnd w:id="17"/>
    <w:bookmarkStart w:id="18" w:name="coding-sensitivity"/>
    <w:p>
      <w:pPr>
        <w:pStyle w:val="Heading3"/>
      </w:pPr>
      <w:r>
        <w:t xml:space="preserve">4.6 Coding sensitivity</w:t>
      </w:r>
    </w:p>
    <w:p>
      <w:pPr>
        <w:pStyle w:val="FirstParagraph"/>
      </w:pPr>
      <w:r>
        <w:t xml:space="preserve">For a share of held-out persons (5%, 10% or 25%), one or two condition flags they did not have are switched on, drawn either in proportion to each category’s prevalence among people with any condition or from a chronic, payment-relevant pool (diabetes, coronary disease, dysrhythmia, depression, COPD and others listed in the code; five of the twelve are common enough to be features). The condition and body-system counts are updated; use and spending are unchanged. Models fitted on each fold’s training PSUs are applied before and after, and we report the rise in total predicted spending and the dollar rise per added code.</w:t>
      </w:r>
    </w:p>
    <w:bookmarkEnd w:id="18"/>
    <w:bookmarkStart w:id="19" w:name="robustness"/>
    <w:p>
      <w:pPr>
        <w:pStyle w:val="Heading3"/>
      </w:pPr>
      <w:r>
        <w:t xml:space="preserve">4.7 Robustness</w:t>
      </w:r>
    </w:p>
    <w:p>
      <w:pPr>
        <w:pStyle w:val="FirstParagraph"/>
      </w:pPr>
      <w:r>
        <w:t xml:space="preserve">Each variant changes one decision and reruns WLS, the Tweedie GLM and Tweedie LightGBM on one repeat: outcome capped at $250,000; a log-outcome linear model; unweighted training; condition-flag prevalence floors of 0.2% and 1%; feature sets F2 and F4; decedents included; panels whose outcome year fell in 2020 or 2021 dropped; and the subsets aged 65 and over and under-65 privately insured.</w:t>
      </w:r>
    </w:p>
    <w:bookmarkEnd w:id="19"/>
    <w:bookmarkEnd w:id="20"/>
    <w:bookmarkStart w:id="21" w:name="software"/>
    <w:p>
      <w:pPr>
        <w:pStyle w:val="Heading2"/>
      </w:pPr>
      <w:r>
        <w:t xml:space="preserve">5. Software</w:t>
      </w:r>
    </w:p>
    <w:p>
      <w:pPr>
        <w:pStyle w:val="FirstParagraph"/>
      </w:pPr>
      <w:r>
        <w:t xml:space="preserve">The estimators, folds, metrics, fairness methods and coding stress test are released as</w:t>
      </w:r>
      <w:r>
        <w:t xml:space="preserve"> </w:t>
      </w:r>
      <w:r>
        <w:rPr>
          <w:rStyle w:val="VerbatimChar"/>
        </w:rPr>
        <w:t xml:space="preserve">riskfair</w:t>
      </w:r>
      <w:r>
        <w:t xml:space="preserve">, a Python package with no dependence on this paper’s configuration: every choice is an argument, so it runs on any person-level cost data with weights and design identifiers, survey or claims. The pipeline that produces every table and figure here calls the package. Unit tests cover fold disjointness, metric identities, exact zero net compensation for the constrained estimator, monotone response to the penalty, recovery of the constraint by the stacked estimator on simulated data, and the coding perturbation. A test asserts that no feature name refers to race or to the year-2 outcome and that no feature is nearly collinear with the outcome.</w:t>
      </w:r>
    </w:p>
    <w:bookmarkEnd w:id="21"/>
    <w:bookmarkStart w:id="46" w:name="results"/>
    <w:p>
      <w:pPr>
        <w:pStyle w:val="Heading2"/>
      </w:pPr>
      <w:r>
        <w:t xml:space="preserve">6. Results</w:t>
      </w:r>
    </w:p>
    <w:bookmarkStart w:id="28" w:name="accuracy-rq1"/>
    <w:p>
      <w:pPr>
        <w:pStyle w:val="Heading3"/>
      </w:pPr>
      <w:r>
        <w:t xml:space="preserve">6.1 Accuracy (RQ1)</w:t>
      </w:r>
    </w:p>
    <w:p>
      <w:pPr>
        <w:pStyle w:val="CaptionedFigure"/>
      </w:pPr>
      <w:r>
        <w:drawing>
          <wp:inline>
            <wp:extent cx="5334000" cy="2241854"/>
            <wp:effectExtent b="0" l="0" r="0" t="0"/>
            <wp:docPr descr="Figure 1. Out-of-sample R² and Cumming’s prediction measure by model, primary feature set, with 95% intervals from a bootstrap over primary sampling units." title="" id="23" name="Picture"/>
            <a:graphic>
              <a:graphicData uri="http://schemas.openxmlformats.org/drawingml/2006/picture">
                <pic:pic>
                  <pic:nvPicPr>
                    <pic:cNvPr descr="output/figures/fig_accuracy.png" id="24" name="Picture"/>
                    <pic:cNvPicPr>
                      <a:picLocks noChangeArrowheads="1" noChangeAspect="1"/>
                    </pic:cNvPicPr>
                  </pic:nvPicPr>
                  <pic:blipFill>
                    <a:blip r:embed="rId22"/>
                    <a:stretch>
                      <a:fillRect/>
                    </a:stretch>
                  </pic:blipFill>
                  <pic:spPr bwMode="auto">
                    <a:xfrm>
                      <a:off x="0" y="0"/>
                      <a:ext cx="5334000" cy="2241854"/>
                    </a:xfrm>
                    <a:prstGeom prst="rect">
                      <a:avLst/>
                    </a:prstGeom>
                    <a:noFill/>
                    <a:ln w="9525">
                      <a:noFill/>
                      <a:headEnd/>
                      <a:tailEnd/>
                    </a:ln>
                  </pic:spPr>
                </pic:pic>
              </a:graphicData>
            </a:graphic>
          </wp:inline>
        </w:drawing>
      </w:r>
    </w:p>
    <w:p>
      <w:pPr>
        <w:pStyle w:val="ImageCaption"/>
      </w:pPr>
      <w:r>
        <w:t xml:space="preserve">Figure 1. Out-of-sample R² and Cumming’s prediction measure by model, primary feature set, with 95% intervals from a bootstrap over primary sampling units.</w:t>
      </w:r>
    </w:p>
    <w:p>
      <w:pPr>
        <w:pStyle w:val="BodyText"/>
      </w:pPr>
      <w:r>
        <w:t xml:space="preserve">Table 2 and Figure 1 give out-of-sample accuracy on the primary feature set. The three tree ensembles reach R² of 0.195 to 0.197 with intervals of roughly 0.16 to 0.25. WLS reaches 0.125 (0.101 to 0.158), the Tweedie GLM 0.135, the two-part model 0.101 and the elastic net 0.117. The neural network reaches 0.141 and the CANN 0.134, indistinguishable from its GLM base: given the same features, the network correction found little to add. Cumming’s prediction measure orders the models the same way, with the GLM family closer to the trees on absolute error than on squared error.</w:t>
      </w:r>
    </w:p>
    <w:p>
      <w:pPr>
        <w:pStyle w:val="BodyText"/>
      </w:pPr>
      <w:r>
        <w:t xml:space="preserve">The gain from boosting is concentrated where payment formulas are weakest. The predictive ratio in the top decile of predicted spending is 0.93 for WLS and 0.98 for Tweedie LightGBM (Figure 2 and Table A2), and the top-10% capture rate rises from 44% to 48%. Mean absolute error falls from $7,978 to $6,770.</w:t>
      </w:r>
    </w:p>
    <w:p>
      <w:pPr>
        <w:pStyle w:val="CaptionedFigure"/>
      </w:pPr>
      <w:r>
        <w:drawing>
          <wp:inline>
            <wp:extent cx="5334000" cy="3246782"/>
            <wp:effectExtent b="0" l="0" r="0" t="0"/>
            <wp:docPr descr="Figure 2. Predictive ratio by decile of predicted spending, four models." title="" id="26" name="Picture"/>
            <a:graphic>
              <a:graphicData uri="http://schemas.openxmlformats.org/drawingml/2006/picture">
                <pic:pic>
                  <pic:nvPicPr>
                    <pic:cNvPr descr="output/figures/fig_calibration.png" id="27" name="Picture"/>
                    <pic:cNvPicPr>
                      <a:picLocks noChangeArrowheads="1" noChangeAspect="1"/>
                    </pic:cNvPicPr>
                  </pic:nvPicPr>
                  <pic:blipFill>
                    <a:blip r:embed="rId25"/>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pPr>
      <w:r>
        <w:t xml:space="preserve">Figure 2. Predictive ratio by decile of predicted spending, four models.</w:t>
      </w:r>
    </w:p>
    <w:p>
      <w:pPr>
        <w:pStyle w:val="BodyText"/>
      </w:pPr>
      <w:r>
        <w:t xml:space="preserve">Table 3 shows where the information is. On demographics alone every model reaches R² of 0.039. Adding conditions raises WLS to 0.103 and boosting to 0.102; adding prior use and spending raises WLS to 0.125 and boosting to 0.195. The boosting advantage therefore comes almost entirely from how it uses prior use, which payment formulas exclude by design: on F2, the set closest to a deployable formula, the flexible model has no advantage over the linear one. Adding social-risk features (F4) changes accuracy by less than 0.005 for any model.</w:t>
      </w:r>
    </w:p>
    <w:bookmarkEnd w:id="28"/>
    <w:bookmarkStart w:id="32" w:name="who-is-underpaid-rq2"/>
    <w:p>
      <w:pPr>
        <w:pStyle w:val="Heading3"/>
      </w:pPr>
      <w:r>
        <w:t xml:space="preserve">6.2 Who is underpaid (RQ2)</w:t>
      </w:r>
    </w:p>
    <w:p>
      <w:pPr>
        <w:pStyle w:val="FirstParagraph"/>
      </w:pPr>
      <w:r>
        <w:t xml:space="preserve">Table 4 and Figure 3 report net compensation by group. One result dominates. People who need help with ADL or IADL, 2.7% of the population with a mean cost of $29,881, are underpaid by every model: $7,794 per person-year by WLS (interval $4,584 to $11,613), $4,949 by the Tweedie GLM, $5,670 by Tweedie LightGBM, and between $4,770 and $9,508 by the others. Flexible models do not remove the gap, because functional status is not in the primary features and no combination of diagnoses and use reproduces it.</w:t>
      </w:r>
    </w:p>
    <w:p>
      <w:pPr>
        <w:pStyle w:val="CaptionedFigure"/>
      </w:pPr>
      <w:r>
        <w:drawing>
          <wp:inline>
            <wp:extent cx="5334000" cy="2995051"/>
            <wp:effectExtent b="0" l="0" r="0" t="0"/>
            <wp:docPr descr="Figure 3. Net compensation by group and model, $ per person-year, with 95% intervals." title="" id="30" name="Picture"/>
            <a:graphic>
              <a:graphicData uri="http://schemas.openxmlformats.org/drawingml/2006/picture">
                <pic:pic>
                  <pic:nvPicPr>
                    <pic:cNvPr descr="output/figures/fig_group_compensation.png" id="31" name="Picture"/>
                    <pic:cNvPicPr>
                      <a:picLocks noChangeArrowheads="1" noChangeAspect="1"/>
                    </pic:cNvPicPr>
                  </pic:nvPicPr>
                  <pic:blipFill>
                    <a:blip r:embed="rId29"/>
                    <a:stretch>
                      <a:fillRect/>
                    </a:stretch>
                  </pic:blipFill>
                  <pic:spPr bwMode="auto">
                    <a:xfrm>
                      <a:off x="0" y="0"/>
                      <a:ext cx="5334000" cy="2995051"/>
                    </a:xfrm>
                    <a:prstGeom prst="rect">
                      <a:avLst/>
                    </a:prstGeom>
                    <a:noFill/>
                    <a:ln w="9525">
                      <a:noFill/>
                      <a:headEnd/>
                      <a:tailEnd/>
                    </a:ln>
                  </pic:spPr>
                </pic:pic>
              </a:graphicData>
            </a:graphic>
          </wp:inline>
        </w:drawing>
      </w:r>
    </w:p>
    <w:p>
      <w:pPr>
        <w:pStyle w:val="ImageCaption"/>
      </w:pPr>
      <w:r>
        <w:t xml:space="preserve">Figure 3. Net compensation by group and model, $ per person-year, with 95% intervals.</w:t>
      </w:r>
    </w:p>
    <w:p>
      <w:pPr>
        <w:pStyle w:val="BodyText"/>
      </w:pPr>
      <w:r>
        <w:t xml:space="preserve">The other groups are close to balance under most models, with intervals that include zero. WLS underpays Hispanic and non-Hispanic Black enrollees by $207 and $274 and the intervals include zero; the tree models pay these groups slightly above cost. People with a mental health condition are paid $199 to $793 above cost by most models. Enrollees aged 65 and over are underpaid by $357 by Tweedie LightGBM and $1,023 by squared-error LightGBM, with wide intervals.</w:t>
      </w:r>
    </w:p>
    <w:bookmarkEnd w:id="32"/>
    <w:bookmarkStart w:id="36" w:name="the-price-of-fairness-rq2"/>
    <w:p>
      <w:pPr>
        <w:pStyle w:val="Heading3"/>
      </w:pPr>
      <w:r>
        <w:t xml:space="preserve">6.3 The price of fairness (RQ2)</w:t>
      </w:r>
    </w:p>
    <w:p>
      <w:pPr>
        <w:pStyle w:val="FirstParagraph"/>
      </w:pPr>
      <w:r>
        <w:t xml:space="preserve">Table 5 and Figure 4 trace the frontier. For the linear formula, driving the ADL gap from $7,887 to $805 (its out-of-fold floor under the constraint) reduces R² from 0.124 to 0.096, a loss of 23%. For the stacked estimator, driving the gap from $5,142 to $210 reduces R² from 0.190 to 0.178, a loss of 6%. At every level of the gap the stacked frontier lies above the linear one. Decile recalibration of the boosted model, which uses no group information, leaves the gap at $5,647.</w:t>
      </w:r>
    </w:p>
    <w:p>
      <w:pPr>
        <w:pStyle w:val="CaptionedFigure"/>
      </w:pPr>
      <w:r>
        <w:drawing>
          <wp:inline>
            <wp:extent cx="5334000" cy="3521394"/>
            <wp:effectExtent b="0" l="0" r="0" t="0"/>
            <wp:docPr descr="Figure 4. The accuracy-fairness frontier: out-of-sample R² against the largest absolute net compensation among target groups, for penalized and constrained linear and stacked estimators." title="" id="34" name="Picture"/>
            <a:graphic>
              <a:graphicData uri="http://schemas.openxmlformats.org/drawingml/2006/picture">
                <pic:pic>
                  <pic:nvPicPr>
                    <pic:cNvPr descr="output/figures/fig_frontier.png" id="35" name="Picture"/>
                    <pic:cNvPicPr>
                      <a:picLocks noChangeArrowheads="1" noChangeAspect="1"/>
                    </pic:cNvPicPr>
                  </pic:nvPicPr>
                  <pic:blipFill>
                    <a:blip r:embed="rId33"/>
                    <a:stretch>
                      <a:fillRect/>
                    </a:stretch>
                  </pic:blipFill>
                  <pic:spPr bwMode="auto">
                    <a:xfrm>
                      <a:off x="0" y="0"/>
                      <a:ext cx="5334000" cy="3521394"/>
                    </a:xfrm>
                    <a:prstGeom prst="rect">
                      <a:avLst/>
                    </a:prstGeom>
                    <a:noFill/>
                    <a:ln w="9525">
                      <a:noFill/>
                      <a:headEnd/>
                      <a:tailEnd/>
                    </a:ln>
                  </pic:spPr>
                </pic:pic>
              </a:graphicData>
            </a:graphic>
          </wp:inline>
        </w:drawing>
      </w:r>
    </w:p>
    <w:p>
      <w:pPr>
        <w:pStyle w:val="ImageCaption"/>
      </w:pPr>
      <w:r>
        <w:t xml:space="preserve">Figure 4. The accuracy-fairness frontier: out-of-sample R² against the largest absolute net compensation among target groups, for penalized and constrained linear and stacked estimators.</w:t>
      </w:r>
    </w:p>
    <w:p>
      <w:pPr>
        <w:pStyle w:val="BodyText"/>
      </w:pPr>
      <w:r>
        <w:t xml:space="preserve">Closing the target gaps opens another. Under both constrained estimators, enrollees aged 65 and over move from balance to an overpayment of $3,342 (linear) and $2,156 (stacked), and non-Hispanic Black enrollees move to $696 and $439 below cost. The ADL group is largely elderly, and a constraint that raises payment for people who need help shifts payment towards the elderly generally. This spillover is invisible if only target groups are reported. We report all groups at every point of the frontier.</w:t>
      </w:r>
    </w:p>
    <w:bookmarkEnd w:id="36"/>
    <w:bookmarkStart w:id="40" w:name="drivers-rq3"/>
    <w:p>
      <w:pPr>
        <w:pStyle w:val="Heading3"/>
      </w:pPr>
      <w:r>
        <w:t xml:space="preserve">6.4 Drivers (RQ3)</w:t>
      </w:r>
    </w:p>
    <w:p>
      <w:pPr>
        <w:pStyle w:val="FirstParagraph"/>
      </w:pPr>
      <w:r>
        <w:t xml:space="preserve">Table 6 and Figure 5 list the largest contributors to the squared-error LightGBM. Year-1 spending is first by a wide margin (mean absolute SHAP $3,970), followed by prescription fills ($1,625), the condition count ($1,015), office visits ($557), inpatient discharges ($386) and the body-system count ($311). The first diagnosis category is diabetes without complication ($172), then age 55 to 64. Importance ranks are stable across folds (Spearman 0.80 over all features, 0.77 over the top 30). SHAP contributions rise monotonically with year-1 spending, condition count and body-system count (rank correlations 0.88, 0.90 and 0.86; Table A4). For the CANN, permuting year-1 spending costs 0.108 of R² and no other feature costs more than 0.02.</w:t>
      </w:r>
    </w:p>
    <w:p>
      <w:pPr>
        <w:pStyle w:val="CaptionedFigure"/>
      </w:pPr>
      <w:r>
        <w:drawing>
          <wp:inline>
            <wp:extent cx="5334000" cy="2563288"/>
            <wp:effectExtent b="0" l="0" r="0" t="0"/>
            <wp:docPr descr="Figure 5. The fifteen largest drivers of the squared-error LightGBM predictions, mean absolute SHAP value in dollars with across-fold standard deviation." title="" id="38" name="Picture"/>
            <a:graphic>
              <a:graphicData uri="http://schemas.openxmlformats.org/drawingml/2006/picture">
                <pic:pic>
                  <pic:nvPicPr>
                    <pic:cNvPr descr="output/figures/fig_importance.png" id="39" name="Picture"/>
                    <pic:cNvPicPr>
                      <a:picLocks noChangeArrowheads="1" noChangeAspect="1"/>
                    </pic:cNvPicPr>
                  </pic:nvPicPr>
                  <pic:blipFill>
                    <a:blip r:embed="rId37"/>
                    <a:stretch>
                      <a:fillRect/>
                    </a:stretch>
                  </pic:blipFill>
                  <pic:spPr bwMode="auto">
                    <a:xfrm>
                      <a:off x="0" y="0"/>
                      <a:ext cx="5334000" cy="2563288"/>
                    </a:xfrm>
                    <a:prstGeom prst="rect">
                      <a:avLst/>
                    </a:prstGeom>
                    <a:noFill/>
                    <a:ln w="9525">
                      <a:noFill/>
                      <a:headEnd/>
                      <a:tailEnd/>
                    </a:ln>
                  </pic:spPr>
                </pic:pic>
              </a:graphicData>
            </a:graphic>
          </wp:inline>
        </w:drawing>
      </w:r>
    </w:p>
    <w:p>
      <w:pPr>
        <w:pStyle w:val="ImageCaption"/>
      </w:pPr>
      <w:r>
        <w:t xml:space="preserve">Figure 5. The fifteen largest drivers of the squared-error LightGBM predictions, mean absolute SHAP value in dollars with across-fold standard deviation.</w:t>
      </w:r>
    </w:p>
    <w:bookmarkEnd w:id="40"/>
    <w:bookmarkStart w:id="44" w:name="coding-sensitivity-rq4"/>
    <w:p>
      <w:pPr>
        <w:pStyle w:val="Heading3"/>
      </w:pPr>
      <w:r>
        <w:t xml:space="preserve">6.5 Coding sensitivity (RQ4)</w:t>
      </w:r>
    </w:p>
    <w:p>
      <w:pPr>
        <w:pStyle w:val="FirstParagraph"/>
      </w:pPr>
      <w:r>
        <w:t xml:space="preserve">Table 7 and Figure 6 give the rise in predicted spending per added chronic code when 10% of people gain one. The linear formula rises most, $1,292 per code; the two-part model $1,307; the constrained linear formula $1,121; the CANN $953; the Tweedie GLM $885; squared-error LightGBM $755; and Tweedie LightGBM least, $693. For codes drawn by prevalence rather than from the chronic pool (full grid in Table A3), the ordering changes: the tree models rise by $612 to $719 and the linear models by $333 to $443, because a linear formula assigns small coefficients to common low-cost categories while the trees respond to the change in the condition count.</w:t>
      </w:r>
    </w:p>
    <w:p>
      <w:pPr>
        <w:pStyle w:val="CaptionedFigure"/>
      </w:pPr>
      <w:r>
        <w:drawing>
          <wp:inline>
            <wp:extent cx="5334000" cy="2937634"/>
            <wp:effectExtent b="0" l="0" r="0" t="0"/>
            <wp:docPr descr="Figure 6. Accuracy against exposure to coding intensity: out-of-sample R² and the rise in predicted spending per added chronic code when 10% of people gain one." title="" id="42" name="Picture"/>
            <a:graphic>
              <a:graphicData uri="http://schemas.openxmlformats.org/drawingml/2006/picture">
                <pic:pic>
                  <pic:nvPicPr>
                    <pic:cNvPr descr="output/figures/fig_gameability.png" id="43" name="Picture"/>
                    <pic:cNvPicPr>
                      <a:picLocks noChangeArrowheads="1" noChangeAspect="1"/>
                    </pic:cNvPicPr>
                  </pic:nvPicPr>
                  <pic:blipFill>
                    <a:blip r:embed="rId41"/>
                    <a:stretch>
                      <a:fillRect/>
                    </a:stretch>
                  </pic:blipFill>
                  <pic:spPr bwMode="auto">
                    <a:xfrm>
                      <a:off x="0" y="0"/>
                      <a:ext cx="5334000" cy="2937634"/>
                    </a:xfrm>
                    <a:prstGeom prst="rect">
                      <a:avLst/>
                    </a:prstGeom>
                    <a:noFill/>
                    <a:ln w="9525">
                      <a:noFill/>
                      <a:headEnd/>
                      <a:tailEnd/>
                    </a:ln>
                  </pic:spPr>
                </pic:pic>
              </a:graphicData>
            </a:graphic>
          </wp:inline>
        </w:drawing>
      </w:r>
    </w:p>
    <w:p>
      <w:pPr>
        <w:pStyle w:val="ImageCaption"/>
      </w:pPr>
      <w:r>
        <w:t xml:space="preserve">Figure 6. Accuracy against exposure to coding intensity: out-of-sample R² and the rise in predicted spending per added chronic code when 10% of people gain one.</w:t>
      </w:r>
    </w:p>
    <w:p>
      <w:pPr>
        <w:pStyle w:val="BodyText"/>
      </w:pPr>
      <w:r>
        <w:t xml:space="preserve">The reason the linear formula is more exposed to chronic codes is structural. A linear model attaches a fixed increment to each flag regardless of what else is recorded. The tree models condition on prior use: an added diagnosis for someone whose visits and fills show no sign of it moves the prediction less. That is the same property that makes the trees more accurate.</w:t>
      </w:r>
    </w:p>
    <w:bookmarkEnd w:id="44"/>
    <w:bookmarkStart w:id="45" w:name="robustness-1"/>
    <w:p>
      <w:pPr>
        <w:pStyle w:val="Heading3"/>
      </w:pPr>
      <w:r>
        <w:t xml:space="preserve">6.6 Robustness</w:t>
      </w:r>
    </w:p>
    <w:p>
      <w:pPr>
        <w:pStyle w:val="FirstParagraph"/>
      </w:pPr>
      <w:r>
        <w:t xml:space="preserve">Table 8 reports the variants. No variant changes the ordering of the three models on R², and the boosting advantage over WLS is between 0.06 and 0.09 in every one. Capping the outcome raises every R² (boosting to 0.282) and reduces the ADL gap by about $1,300 for each model. Dropping prior spending (F2) collapses boosting’s advantage and roughly doubles the ADL gap to $10,670, since prior use was carrying part of the functional-status signal. Adding social-risk features (F4), which include the ADL and IADL items themselves, cuts the ADL gap to $2,190 for boosting and $1,462 for WLS: the direct route to paying for functional need is to observe it. Removing the pandemic outcome years, using unweighted training, and moving the condition-flag floor change R² by less than 0.02. The log-outcome linear model performs poorly on squared error (R² −0.105) and is not a candidate for payment. Within the 65-and-over subset, R² falls for every model (boosting 0.170, WLS 0.082) and the ADL gap persists.</w:t>
      </w:r>
    </w:p>
    <w:bookmarkEnd w:id="45"/>
    <w:bookmarkEnd w:id="46"/>
    <w:bookmarkStart w:id="47" w:name="discussion"/>
    <w:p>
      <w:pPr>
        <w:pStyle w:val="Heading2"/>
      </w:pPr>
      <w:r>
        <w:t xml:space="preserve">7. Discussion</w:t>
      </w:r>
    </w:p>
    <w:p>
      <w:pPr>
        <w:pStyle w:val="FirstParagraph"/>
      </w:pPr>
      <w:r>
        <w:rPr>
          <w:b/>
          <w:bCs/>
        </w:rPr>
        <w:t xml:space="preserve">For payers and regulators.</w:t>
      </w:r>
      <w:r>
        <w:t xml:space="preserve"> </w:t>
      </w:r>
      <w:r>
        <w:t xml:space="preserve">On this benchmark the choice between a linear formula and a flexible model is not a choice between accuracy and fairness. The flexible model is more accurate, is no worse on group compensation, and is less responsive to added chronic diagnoses. Its accuracy advantage depends on prior utilization, which payment formulas exclude to avoid rewarding use; a regulator who keeps that exclusion should expect the flexible model’s advantage to vanish (Table 3) and its coding sensitivity to converge on the linear model’s.</w:t>
      </w:r>
    </w:p>
    <w:p>
      <w:pPr>
        <w:pStyle w:val="BodyText"/>
      </w:pPr>
      <w:r>
        <w:t xml:space="preserve">Two findings apply to any formula. First, the group that every model underpays is defined by functional status, which no diagnosis or use variable reproduces. The robustness results show two routes to paying for it: observe it directly (F4), or constrain payment to it, which costs accuracy and shifts money to the elderly. Second, fairness reporting must cover non-target groups. The constraint that fixed the ADL gap created an elderly overpayment of the same order, and a reader shown only the target groups would call the constrained formula fair.</w:t>
      </w:r>
    </w:p>
    <w:p>
      <w:pPr>
        <w:pStyle w:val="BodyText"/>
      </w:pPr>
      <w:r>
        <w:rPr>
          <w:b/>
          <w:bCs/>
        </w:rPr>
        <w:t xml:space="preserve">Limitations.</w:t>
      </w:r>
      <w:r>
        <w:t xml:space="preserve"> </w:t>
      </w:r>
      <w:r>
        <w:t xml:space="preserve">MEPS is a household survey with self-reported conditions verified by provider records; R² levels are not comparable with claims-based studies and comparisons are valid only within the benchmark. Three-digit ICD-10 codes make the condition categories coarser than payment-model categories. Sample sizes for small groups are limited; the ADL group has 1,488 persons and its intervals are wide. The coding simulation adds codes at random within a pool; real coding intensity is targeted at the codes that pay most, so the dollar figures are a lower bound on what targeted coding would do to the linear formula and the ordering across models is the more reliable result. The fairness targets were chosen by the analyst; other choices would move other groups. The neural models were tuned over a small grid and their results should be read as a floor on what a well-tuned network can do, not a ceiling.</w:t>
      </w:r>
    </w:p>
    <w:p>
      <w:pPr>
        <w:pStyle w:val="BodyText"/>
      </w:pPr>
      <w:r>
        <w:rPr>
          <w:b/>
          <w:bCs/>
        </w:rPr>
        <w:t xml:space="preserve">What the toolkit is for.</w:t>
      </w:r>
      <w:r>
        <w:t xml:space="preserve"> </w:t>
      </w:r>
      <w:r>
        <w:t xml:space="preserve">Any payer or regulator with person-level cost data can run the same four evaluations on their own formula and candidate replacements, with cluster-aware validation and group reporting built in. The package does not decide what fairness means; it measures what a formula does to each group and what changing that would cost.</w:t>
      </w:r>
    </w:p>
    <w:bookmarkEnd w:id="47"/>
    <w:bookmarkStart w:id="48" w:name="conclusion"/>
    <w:p>
      <w:pPr>
        <w:pStyle w:val="Heading2"/>
      </w:pPr>
      <w:r>
        <w:t xml:space="preserve">8. Conclusion</w:t>
      </w:r>
    </w:p>
    <w:p>
      <w:pPr>
        <w:pStyle w:val="FirstParagraph"/>
      </w:pPr>
      <w:r>
        <w:t xml:space="preserve">A public benchmark shows that flexible models predict next-year health spending more accurately than the linear form of payment formulas, that the gain comes from prior utilization rather than from diagnoses, that every model underpays people who need functional help, that a stacked constrained estimator closes that gap at a small cost while shifting payment towards the elderly, and that the linear formula is the most responsive to added chronic codes. The code that produced every number is released as a reusable package.</w:t>
      </w:r>
    </w:p>
    <w:p>
      <w:r>
        <w:pict>
          <v:rect style="width:0;height:1.5pt" o:hralign="center" o:hrstd="t" o:hr="t"/>
        </w:pict>
      </w:r>
    </w:p>
    <w:bookmarkEnd w:id="48"/>
    <w:bookmarkStart w:id="49"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the CCSR reference file from AHRQ’s HCUP. Neither is redistributed.</w:t>
      </w:r>
    </w:p>
    <w:p>
      <w:pPr>
        <w:pStyle w:val="BodyText"/>
      </w:pPr>
      <w:r>
        <w:rPr>
          <w:b/>
          <w:bCs/>
        </w:rPr>
        <w:t xml:space="preserve">Code availability.</w:t>
      </w:r>
      <w:r>
        <w:t xml:space="preserve"> </w:t>
      </w:r>
      <w:r>
        <w:t xml:space="preserve">The</w:t>
      </w:r>
      <w:r>
        <w:t xml:space="preserve"> </w:t>
      </w:r>
      <w:r>
        <w:rPr>
          <w:rStyle w:val="VerbatimChar"/>
        </w:rPr>
        <w:t xml:space="preserve">riskfair</w:t>
      </w:r>
      <w:r>
        <w:t xml:space="preserve"> </w:t>
      </w:r>
      <w:r>
        <w:t xml:space="preserve">package and the complete, seeded pipeline are at https://github.com/tosin-babs/fair-ml-health-risk-adjustment;</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An interactive explorer of the results is at https://fair-risk-adjustment.vercel.app.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p>
    <w:p>
      <w:r>
        <w:pict>
          <v:rect style="width:0;height:1.5pt" o:hralign="center" o:hrstd="t" o:hr="t"/>
        </w:pict>
      </w:r>
    </w:p>
    <w:bookmarkEnd w:id="49"/>
    <w:bookmarkStart w:id="50" w:name="references"/>
    <w:p>
      <w:pPr>
        <w:pStyle w:val="Heading2"/>
      </w:pPr>
      <w:r>
        <w:t xml:space="preserve">References</w:t>
      </w:r>
    </w:p>
    <w:p>
      <w:pPr>
        <w:pStyle w:val="Compact"/>
        <w:numPr>
          <w:ilvl w:val="0"/>
          <w:numId w:val="1002"/>
        </w:numPr>
      </w:pPr>
      <w:r>
        <w:t xml:space="preserve">Andriola, C., Ellis, R. P., Siracuse, J. J., Hoagland, A., et al. (2024). A novel machine learning algorithm for creating risk-adjusted payment formulas.</w:t>
      </w:r>
      <w:r>
        <w:t xml:space="preserve"> </w:t>
      </w:r>
      <w:r>
        <w:rPr>
          <w:i/>
          <w:iCs/>
        </w:rPr>
        <w:t xml:space="preserve">JAMA Health Forum</w:t>
      </w:r>
      <w:r>
        <w:t xml:space="preserve">, 5(4), e240625. doi:10.1001/jamahealthforum.2024.0625</w:t>
      </w:r>
    </w:p>
    <w:p>
      <w:pPr>
        <w:pStyle w:val="Compact"/>
        <w:numPr>
          <w:ilvl w:val="0"/>
          <w:numId w:val="1002"/>
        </w:numPr>
      </w:pPr>
      <w:r>
        <w:t xml:space="preserve">Bergquist, S. L., Layton, T. J., McGuire, T. G., &amp; Rose, S. (2019). Data transformations to improve the performance of health plan payment methods.</w:t>
      </w:r>
      <w:r>
        <w:t xml:space="preserve"> </w:t>
      </w:r>
      <w:r>
        <w:rPr>
          <w:i/>
          <w:iCs/>
        </w:rPr>
        <w:t xml:space="preserve">Journal of Health Economics</w:t>
      </w:r>
      <w:r>
        <w:t xml:space="preserve">, 66, 195–207. doi:10.1016/j.jhealeco.2019.05.005</w:t>
      </w:r>
    </w:p>
    <w:p>
      <w:pPr>
        <w:pStyle w:val="Compact"/>
        <w:numPr>
          <w:ilvl w:val="0"/>
          <w:numId w:val="100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doi:10.1145/2939672.2939785</w:t>
      </w:r>
    </w:p>
    <w:p>
      <w:pPr>
        <w:pStyle w:val="Compact"/>
        <w:numPr>
          <w:ilvl w:val="0"/>
          <w:numId w:val="1002"/>
        </w:numPr>
      </w:pPr>
      <w:r>
        <w:t xml:space="preserve">Duncan, I., Loginov, M., &amp; Ludkovski, M. (2016). Testing alternative regression frameworks for predictive modeling of health care costs.</w:t>
      </w:r>
      <w:r>
        <w:t xml:space="preserve"> </w:t>
      </w:r>
      <w:r>
        <w:rPr>
          <w:i/>
          <w:iCs/>
        </w:rPr>
        <w:t xml:space="preserve">North American Actuarial Journal</w:t>
      </w:r>
      <w:r>
        <w:t xml:space="preserve">, 20(1), 65–87. doi:10.1080/10920277.2015.1110491</w:t>
      </w:r>
    </w:p>
    <w:p>
      <w:pPr>
        <w:pStyle w:val="Compact"/>
        <w:numPr>
          <w:ilvl w:val="0"/>
          <w:numId w:val="1002"/>
        </w:numPr>
      </w:pPr>
      <w:r>
        <w:t xml:space="preserve">Ellis, R. P., Martins, B., &amp; Rose, S. (2018). Risk adjustment for health plan payment. In T. G. McGuire &amp; R. C. van Kleef (Eds.),</w:t>
      </w:r>
      <w:r>
        <w:t xml:space="preserve"> </w:t>
      </w:r>
      <w:r>
        <w:rPr>
          <w:i/>
          <w:iCs/>
        </w:rPr>
        <w:t xml:space="preserve">Risk Adjustment, Risk Sharing and Premium Regulation in Health Insurance Markets</w:t>
      </w:r>
      <w:r>
        <w:t xml:space="preserve">. Academic Press.</w:t>
      </w:r>
    </w:p>
    <w:p>
      <w:pPr>
        <w:pStyle w:val="Compact"/>
        <w:numPr>
          <w:ilvl w:val="0"/>
          <w:numId w:val="1002"/>
        </w:numPr>
      </w:pPr>
      <w:r>
        <w:t xml:space="preserve">Irvin, J. A., Kondrich, A. A., Ko, M., Rajpurkar, P., et al. (2020). Incorporating machine learning and social determinants of health indicators into prospective risk adjustment for health plan payments.</w:t>
      </w:r>
      <w:r>
        <w:t xml:space="preserve"> </w:t>
      </w:r>
      <w:r>
        <w:rPr>
          <w:i/>
          <w:iCs/>
        </w:rPr>
        <w:t xml:space="preserve">BMC Public Health</w:t>
      </w:r>
      <w:r>
        <w:t xml:space="preserve">, 20, 608. doi:10.1186/s12889-020-08735-0</w:t>
      </w:r>
    </w:p>
    <w:p>
      <w:pPr>
        <w:pStyle w:val="Compact"/>
        <w:numPr>
          <w:ilvl w:val="0"/>
          <w:numId w:val="1002"/>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2"/>
        </w:numPr>
      </w:pPr>
      <w:r>
        <w:t xml:space="preserve">Ke, G., Meng, Q., Finley, T., et al. (2017). LightGBM: a highly efficient gradient boosting decision tree.</w:t>
      </w:r>
      <w:r>
        <w:t xml:space="preserve"> </w:t>
      </w:r>
      <w:r>
        <w:rPr>
          <w:i/>
          <w:iCs/>
        </w:rPr>
        <w:t xml:space="preserve">Advances in Neural Information Processing Systems</w:t>
      </w:r>
      <w:r>
        <w:t xml:space="preserve">, 30.</w:t>
      </w:r>
    </w:p>
    <w:p>
      <w:pPr>
        <w:pStyle w:val="Compact"/>
        <w:numPr>
          <w:ilvl w:val="0"/>
          <w:numId w:val="1002"/>
        </w:numPr>
      </w:pPr>
      <w:r>
        <w:t xml:space="preserve">Lundberg, S. M., &amp; Lee, S.-I. (2017). A unified approach to interpreting model predictions.</w:t>
      </w:r>
      <w:r>
        <w:t xml:space="preserve"> </w:t>
      </w:r>
      <w:r>
        <w:rPr>
          <w:i/>
          <w:iCs/>
        </w:rPr>
        <w:t xml:space="preserve">Advances in Neural Information Processing Systems</w:t>
      </w:r>
      <w:r>
        <w:t xml:space="preserve">, 30.</w:t>
      </w:r>
    </w:p>
    <w:p>
      <w:pPr>
        <w:pStyle w:val="Compact"/>
        <w:numPr>
          <w:ilvl w:val="0"/>
          <w:numId w:val="1002"/>
        </w:numPr>
      </w:pPr>
      <w:r>
        <w:t xml:space="preserve">McGuire, T. G., Zink, A. L., &amp; Rose, S. (2021). Improving the performance of risk adjustment systems: constrained regressions, reinsurance, and variable selection.</w:t>
      </w:r>
      <w:r>
        <w:t xml:space="preserve"> </w:t>
      </w:r>
      <w:r>
        <w:rPr>
          <w:i/>
          <w:iCs/>
        </w:rPr>
        <w:t xml:space="preserve">American Journal of Health Economics</w:t>
      </w:r>
      <w:r>
        <w:t xml:space="preserve">, 7(4), 497–521. doi:10.1086/716199</w:t>
      </w:r>
    </w:p>
    <w:p>
      <w:pPr>
        <w:pStyle w:val="Compact"/>
        <w:numPr>
          <w:ilvl w:val="0"/>
          <w:numId w:val="1002"/>
        </w:numPr>
      </w:pPr>
      <w:r>
        <w:t xml:space="preserve">Medicare Payment Advisory Commission (2025).</w:t>
      </w:r>
      <w:r>
        <w:t xml:space="preserve"> </w:t>
      </w:r>
      <w:r>
        <w:rPr>
          <w:i/>
          <w:iCs/>
        </w:rPr>
        <w:t xml:space="preserve">Report to the Congress: Medicare Payment Policy</w:t>
      </w:r>
      <w:r>
        <w:t xml:space="preserve">, March 2025, chapter on the Medicare Advantage program. Washington, DC: MedPAC.</w:t>
      </w:r>
    </w:p>
    <w:p>
      <w:pPr>
        <w:pStyle w:val="Compact"/>
        <w:numPr>
          <w:ilvl w:val="0"/>
          <w:numId w:val="1002"/>
        </w:numPr>
      </w:pPr>
      <w:r>
        <w:t xml:space="preserve">Obermeyer, Z., Powers, B., Vogeli, C., &amp; Mullainathan, S. (2019). Dissecting racial bias in an algorithm used to manage the health of populations.</w:t>
      </w:r>
      <w:r>
        <w:t xml:space="preserve"> </w:t>
      </w:r>
      <w:r>
        <w:rPr>
          <w:i/>
          <w:iCs/>
        </w:rPr>
        <w:t xml:space="preserve">Science</w:t>
      </w:r>
      <w:r>
        <w:t xml:space="preserve">, 366(6464), 447–453. doi:10.1126/science.aax2342</w:t>
      </w:r>
    </w:p>
    <w:p>
      <w:pPr>
        <w:pStyle w:val="Compact"/>
        <w:numPr>
          <w:ilvl w:val="0"/>
          <w:numId w:val="1002"/>
        </w:numPr>
      </w:pPr>
      <w:r>
        <w:t xml:space="preserve">Pope, G. C., Kautter, J., Ellis, R. P., et al. (2004). Risk adjustment of Medicare capitation payments using the CMS-HCC model.</w:t>
      </w:r>
      <w:r>
        <w:t xml:space="preserve"> </w:t>
      </w:r>
      <w:r>
        <w:rPr>
          <w:i/>
          <w:iCs/>
        </w:rPr>
        <w:t xml:space="preserve">Health Care Financing Review</w:t>
      </w:r>
      <w:r>
        <w:t xml:space="preserve">, 25(4), 119–141.</w:t>
      </w:r>
    </w:p>
    <w:p>
      <w:pPr>
        <w:pStyle w:val="Compact"/>
        <w:numPr>
          <w:ilvl w:val="0"/>
          <w:numId w:val="1002"/>
        </w:numPr>
      </w:pPr>
      <w:r>
        <w:t xml:space="preserve">Rose, S. (2016). A machine learning framework for plan payment risk adjustment.</w:t>
      </w:r>
      <w:r>
        <w:t xml:space="preserve"> </w:t>
      </w:r>
      <w:r>
        <w:rPr>
          <w:i/>
          <w:iCs/>
        </w:rPr>
        <w:t xml:space="preserve">Health Services Research</w:t>
      </w:r>
      <w:r>
        <w:t xml:space="preserve">, 51(6), 2358–2374. doi:10.1111/1475-6773.12464</w:t>
      </w:r>
    </w:p>
    <w:p>
      <w:pPr>
        <w:pStyle w:val="Compact"/>
        <w:numPr>
          <w:ilvl w:val="0"/>
          <w:numId w:val="1002"/>
        </w:numPr>
      </w:pPr>
      <w:r>
        <w:t xml:space="preserve">Schelldorfer, J., &amp; Wüthrich, M. V. (2019). Nesting classical actuarial models into neural networks. SSRN working paper 3320525. doi:10.2139/ssrn.3320525</w:t>
      </w:r>
    </w:p>
    <w:p>
      <w:pPr>
        <w:pStyle w:val="Compact"/>
        <w:numPr>
          <w:ilvl w:val="0"/>
          <w:numId w:val="1002"/>
        </w:numPr>
      </w:pPr>
      <w:r>
        <w:t xml:space="preserve">Wüthrich, M. V., &amp; Merz, M. (2023).</w:t>
      </w:r>
      <w:r>
        <w:t xml:space="preserve"> </w:t>
      </w:r>
      <w:r>
        <w:rPr>
          <w:i/>
          <w:iCs/>
        </w:rPr>
        <w:t xml:space="preserve">Statistical Foundations of Actuarial Learning and its Applications</w:t>
      </w:r>
      <w:r>
        <w:t xml:space="preserve">. Springer. doi:10.1007/978-3-031-12409-9</w:t>
      </w:r>
    </w:p>
    <w:p>
      <w:pPr>
        <w:pStyle w:val="Compact"/>
        <w:numPr>
          <w:ilvl w:val="0"/>
          <w:numId w:val="1002"/>
        </w:numPr>
      </w:pPr>
      <w:r>
        <w:t xml:space="preserve">Zink, A., &amp; Rose, S. (2020). Fair regression for health care spending.</w:t>
      </w:r>
      <w:r>
        <w:t xml:space="preserve"> </w:t>
      </w:r>
      <w:r>
        <w:rPr>
          <w:i/>
          <w:iCs/>
        </w:rPr>
        <w:t xml:space="preserve">Biometrics</w:t>
      </w:r>
      <w:r>
        <w:t xml:space="preserve">, 76(3), 973–982. doi:10.1111/biom.13206</w:t>
      </w:r>
    </w:p>
    <w:p>
      <w:pPr>
        <w:pStyle w:val="Compact"/>
        <w:numPr>
          <w:ilvl w:val="0"/>
          <w:numId w:val="1002"/>
        </w:numPr>
      </w:pPr>
      <w:r>
        <w:t xml:space="preserve">Agency for Healthcare Research and Quality.</w:t>
      </w:r>
      <w:r>
        <w:t xml:space="preserve"> </w:t>
      </w:r>
      <w:r>
        <w:rPr>
          <w:i/>
          <w:iCs/>
        </w:rPr>
        <w:t xml:space="preserve">Medical Expenditure Panel Survey, Panel 23–27 Longitudinal Data Files (HC-217, HC-225, HC-234, HC-244, HC-252) and Medical Conditions Files (HC-207, HC-214, HC-222, HC-231, HC-241)</w:t>
      </w:r>
      <w:r>
        <w:t xml:space="preserve">. Accessed September 2026.</w:t>
      </w:r>
    </w:p>
    <w:p>
      <w:pPr>
        <w:pStyle w:val="Compact"/>
        <w:numPr>
          <w:ilvl w:val="0"/>
          <w:numId w:val="1002"/>
        </w:numPr>
      </w:pPr>
      <w:r>
        <w:t xml:space="preserve">Agency for Healthcare Research and Quality, Healthcare Cost and Utilization Project.</w:t>
      </w:r>
      <w:r>
        <w:t xml:space="preserve"> </w:t>
      </w:r>
      <w:r>
        <w:rPr>
          <w:i/>
          <w:iCs/>
        </w:rPr>
        <w:t xml:space="preserve">Clinical Classifications Software Refined (CCSR) for ICD-10-CM Diagnoses, v2026.1</w:t>
      </w:r>
      <w:r>
        <w:t xml:space="preserve">. Accessed September 2026.</w:t>
      </w:r>
    </w:p>
    <w:p>
      <w:pPr>
        <w:pStyle w:val="FirstParagraph"/>
      </w:pPr>
      <w:r>
        <w:rPr>
          <w:i/>
          <w:iCs/>
        </w:rPr>
        <w:t xml:space="preserve">DOIs for references 1, 2, 3, 4, 6, 7, 10, 12, 14, 16 and 17 were verified against the Crossref REST API on 14 September 2026.</w:t>
      </w:r>
    </w:p>
    <w:bookmarkEnd w:id="50"/>
    <w:bookmarkEnd w:id="51"/>
    <w:bookmarkStart w:id="52"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Spending is total expenditure from all payers in 2024 dollars. All estimates are weighted by the MEPS longitudinal weight; model metrics are out of fold from cross-validation with primary sampling units kept whole.</w:t>
      </w:r>
    </w:p>
    <w:p>
      <w:pPr>
        <w:pStyle w:val="BodyText"/>
      </w:pPr>
      <w:r>
        <w:rPr>
          <w:b/>
          <w:bCs/>
        </w:rPr>
        <w:t xml:space="preserve">Table 1.</w:t>
      </w:r>
      <w:r>
        <w:t xml:space="preserve"> </w:t>
      </w:r>
      <w:r>
        <w:t xml:space="preserve">Sample characteristics and year-2 spending.</w:t>
      </w:r>
    </w:p>
    <w:p>
      <w:pPr>
        <w:pStyle w:val="BodyText"/>
      </w:pPr>
      <w:r>
        <w:rPr>
          <w:i/>
          <w:iCs/>
        </w:rPr>
        <w:t xml:space="preserve">Weighted estimates; standard errors Taylor-linearized for the stratified cluster design.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Characteristic</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n</w:t>
            </w:r>
          </w:p>
        </w:tc>
      </w:tr>
      <w:tr>
        <w:tc>
          <w:tcPr/>
          <w:p>
            <w:pPr>
              <w:pStyle w:val="Compact"/>
            </w:pPr>
            <w:r>
              <w:t xml:space="preserve">Persons</w:t>
            </w:r>
          </w:p>
        </w:tc>
        <w:tc>
          <w:tcPr/>
          <w:p>
            <w:pPr>
              <w:pStyle w:val="Compact"/>
              <w:jc w:val="right"/>
            </w:pPr>
            <w:r>
              <w:t xml:space="preserve">43,568.00</w:t>
            </w:r>
          </w:p>
        </w:tc>
        <w:tc>
          <w:tcPr/>
          <w:p>
            <w:pPr>
              <w:pStyle w:val="Compact"/>
            </w:pPr>
          </w:p>
        </w:tc>
        <w:tc>
          <w:tcPr/>
          <w:p>
            <w:pPr>
              <w:pStyle w:val="Compact"/>
              <w:jc w:val="right"/>
            </w:pPr>
            <w:r>
              <w:t xml:space="preserve">43,568</w:t>
            </w:r>
          </w:p>
        </w:tc>
      </w:tr>
      <w:tr>
        <w:tc>
          <w:tcPr/>
          <w:p>
            <w:pPr>
              <w:pStyle w:val="Compact"/>
            </w:pPr>
            <w:r>
              <w:t xml:space="preserve">Weighted population, millions a year</w:t>
            </w:r>
          </w:p>
        </w:tc>
        <w:tc>
          <w:tcPr/>
          <w:p>
            <w:pPr>
              <w:pStyle w:val="Compact"/>
              <w:jc w:val="right"/>
            </w:pPr>
            <w:r>
              <w:t xml:space="preserve">324.38</w:t>
            </w:r>
          </w:p>
        </w:tc>
        <w:tc>
          <w:tcPr/>
          <w:p>
            <w:pPr>
              <w:pStyle w:val="Compact"/>
            </w:pPr>
          </w:p>
        </w:tc>
        <w:tc>
          <w:tcPr/>
          <w:p>
            <w:pPr>
              <w:pStyle w:val="Compact"/>
              <w:jc w:val="right"/>
            </w:pPr>
            <w:r>
              <w:t xml:space="preserve">43,568</w:t>
            </w:r>
          </w:p>
        </w:tc>
      </w:tr>
      <w:tr>
        <w:tc>
          <w:tcPr/>
          <w:p>
            <w:pPr>
              <w:pStyle w:val="Compact"/>
            </w:pPr>
            <w:r>
              <w:t xml:space="preserve">Age in year 1, mean</w:t>
            </w:r>
          </w:p>
        </w:tc>
        <w:tc>
          <w:tcPr/>
          <w:p>
            <w:pPr>
              <w:pStyle w:val="Compact"/>
              <w:jc w:val="right"/>
            </w:pPr>
            <w:r>
              <w:t xml:space="preserve">38.78</w:t>
            </w:r>
          </w:p>
        </w:tc>
        <w:tc>
          <w:tcPr/>
          <w:p>
            <w:pPr>
              <w:pStyle w:val="Compact"/>
              <w:jc w:val="right"/>
            </w:pPr>
            <w:r>
              <w:t xml:space="preserve">0.20</w:t>
            </w:r>
          </w:p>
        </w:tc>
        <w:tc>
          <w:tcPr/>
          <w:p>
            <w:pPr>
              <w:pStyle w:val="Compact"/>
              <w:jc w:val="right"/>
            </w:pPr>
            <w:r>
              <w:t xml:space="preserve">43,568</w:t>
            </w:r>
          </w:p>
        </w:tc>
      </w:tr>
      <w:tr>
        <w:tc>
          <w:tcPr/>
          <w:p>
            <w:pPr>
              <w:pStyle w:val="Compact"/>
            </w:pPr>
            <w:r>
              <w:t xml:space="preserve">Age 65 and over, %</w:t>
            </w:r>
          </w:p>
        </w:tc>
        <w:tc>
          <w:tcPr/>
          <w:p>
            <w:pPr>
              <w:pStyle w:val="Compact"/>
              <w:jc w:val="right"/>
            </w:pPr>
            <w:r>
              <w:t xml:space="preserve">16.24</w:t>
            </w:r>
          </w:p>
        </w:tc>
        <w:tc>
          <w:tcPr/>
          <w:p>
            <w:pPr>
              <w:pStyle w:val="Compact"/>
              <w:jc w:val="right"/>
            </w:pPr>
            <w:r>
              <w:t xml:space="preserve">0.27</w:t>
            </w:r>
          </w:p>
        </w:tc>
        <w:tc>
          <w:tcPr/>
          <w:p>
            <w:pPr>
              <w:pStyle w:val="Compact"/>
              <w:jc w:val="right"/>
            </w:pPr>
            <w:r>
              <w:t xml:space="preserve">43,568</w:t>
            </w:r>
          </w:p>
        </w:tc>
      </w:tr>
      <w:tr>
        <w:tc>
          <w:tcPr/>
          <w:p>
            <w:pPr>
              <w:pStyle w:val="Compact"/>
            </w:pPr>
            <w:r>
              <w:t xml:space="preserve">Female, %</w:t>
            </w:r>
          </w:p>
        </w:tc>
        <w:tc>
          <w:tcPr/>
          <w:p>
            <w:pPr>
              <w:pStyle w:val="Compact"/>
              <w:jc w:val="right"/>
            </w:pPr>
            <w:r>
              <w:t xml:space="preserve">50.92</w:t>
            </w:r>
          </w:p>
        </w:tc>
        <w:tc>
          <w:tcPr/>
          <w:p>
            <w:pPr>
              <w:pStyle w:val="Compact"/>
              <w:jc w:val="right"/>
            </w:pPr>
            <w:r>
              <w:t xml:space="preserve">0.24</w:t>
            </w:r>
          </w:p>
        </w:tc>
        <w:tc>
          <w:tcPr/>
          <w:p>
            <w:pPr>
              <w:pStyle w:val="Compact"/>
              <w:jc w:val="right"/>
            </w:pPr>
            <w:r>
              <w:t xml:space="preserve">43,568</w:t>
            </w:r>
          </w:p>
        </w:tc>
      </w:tr>
      <w:tr>
        <w:tc>
          <w:tcPr/>
          <w:p>
            <w:pPr>
              <w:pStyle w:val="Compact"/>
            </w:pPr>
            <w:r>
              <w:t xml:space="preserve">Hispanic, %</w:t>
            </w:r>
          </w:p>
        </w:tc>
        <w:tc>
          <w:tcPr/>
          <w:p>
            <w:pPr>
              <w:pStyle w:val="Compact"/>
              <w:jc w:val="right"/>
            </w:pPr>
            <w:r>
              <w:t xml:space="preserve">19.06</w:t>
            </w:r>
          </w:p>
        </w:tc>
        <w:tc>
          <w:tcPr/>
          <w:p>
            <w:pPr>
              <w:pStyle w:val="Compact"/>
              <w:jc w:val="right"/>
            </w:pPr>
            <w:r>
              <w:t xml:space="preserve">0.60</w:t>
            </w:r>
          </w:p>
        </w:tc>
        <w:tc>
          <w:tcPr/>
          <w:p>
            <w:pPr>
              <w:pStyle w:val="Compact"/>
              <w:jc w:val="right"/>
            </w:pPr>
            <w:r>
              <w:t xml:space="preserve">43,568</w:t>
            </w:r>
          </w:p>
        </w:tc>
      </w:tr>
      <w:tr>
        <w:tc>
          <w:tcPr/>
          <w:p>
            <w:pPr>
              <w:pStyle w:val="Compact"/>
            </w:pPr>
            <w:r>
              <w:t xml:space="preserve">Non-Hispanic White, %</w:t>
            </w:r>
          </w:p>
        </w:tc>
        <w:tc>
          <w:tcPr/>
          <w:p>
            <w:pPr>
              <w:pStyle w:val="Compact"/>
              <w:jc w:val="right"/>
            </w:pPr>
            <w:r>
              <w:t xml:space="preserve">58.57</w:t>
            </w:r>
          </w:p>
        </w:tc>
        <w:tc>
          <w:tcPr/>
          <w:p>
            <w:pPr>
              <w:pStyle w:val="Compact"/>
              <w:jc w:val="right"/>
            </w:pPr>
            <w:r>
              <w:t xml:space="preserve">0.64</w:t>
            </w:r>
          </w:p>
        </w:tc>
        <w:tc>
          <w:tcPr/>
          <w:p>
            <w:pPr>
              <w:pStyle w:val="Compact"/>
              <w:jc w:val="right"/>
            </w:pPr>
            <w:r>
              <w:t xml:space="preserve">43,568</w:t>
            </w:r>
          </w:p>
        </w:tc>
      </w:tr>
      <w:tr>
        <w:tc>
          <w:tcPr/>
          <w:p>
            <w:pPr>
              <w:pStyle w:val="Compact"/>
            </w:pPr>
            <w:r>
              <w:t xml:space="preserve">Non-Hispanic Black, %</w:t>
            </w:r>
          </w:p>
        </w:tc>
        <w:tc>
          <w:tcPr/>
          <w:p>
            <w:pPr>
              <w:pStyle w:val="Compact"/>
              <w:jc w:val="right"/>
            </w:pPr>
            <w:r>
              <w:t xml:space="preserve">12.44</w:t>
            </w:r>
          </w:p>
        </w:tc>
        <w:tc>
          <w:tcPr/>
          <w:p>
            <w:pPr>
              <w:pStyle w:val="Compact"/>
              <w:jc w:val="right"/>
            </w:pPr>
            <w:r>
              <w:t xml:space="preserve">0.42</w:t>
            </w:r>
          </w:p>
        </w:tc>
        <w:tc>
          <w:tcPr/>
          <w:p>
            <w:pPr>
              <w:pStyle w:val="Compact"/>
              <w:jc w:val="right"/>
            </w:pPr>
            <w:r>
              <w:t xml:space="preserve">43,568</w:t>
            </w:r>
          </w:p>
        </w:tc>
      </w:tr>
      <w:tr>
        <w:tc>
          <w:tcPr/>
          <w:p>
            <w:pPr>
              <w:pStyle w:val="Compact"/>
            </w:pPr>
            <w:r>
              <w:t xml:space="preserve">Non-Hispanic Asian, %</w:t>
            </w:r>
          </w:p>
        </w:tc>
        <w:tc>
          <w:tcPr/>
          <w:p>
            <w:pPr>
              <w:pStyle w:val="Compact"/>
              <w:jc w:val="right"/>
            </w:pPr>
            <w:r>
              <w:t xml:space="preserve">6.16</w:t>
            </w:r>
          </w:p>
        </w:tc>
        <w:tc>
          <w:tcPr/>
          <w:p>
            <w:pPr>
              <w:pStyle w:val="Compact"/>
              <w:jc w:val="right"/>
            </w:pPr>
            <w:r>
              <w:t xml:space="preserve">0.30</w:t>
            </w:r>
          </w:p>
        </w:tc>
        <w:tc>
          <w:tcPr/>
          <w:p>
            <w:pPr>
              <w:pStyle w:val="Compact"/>
              <w:jc w:val="right"/>
            </w:pPr>
            <w:r>
              <w:t xml:space="preserve">43,568</w:t>
            </w:r>
          </w:p>
        </w:tc>
      </w:tr>
      <w:tr>
        <w:tc>
          <w:tcPr/>
          <w:p>
            <w:pPr>
              <w:pStyle w:val="Compact"/>
            </w:pPr>
            <w:r>
              <w:t xml:space="preserve">Non-Hispanic other or multiple, %</w:t>
            </w:r>
          </w:p>
        </w:tc>
        <w:tc>
          <w:tcPr/>
          <w:p>
            <w:pPr>
              <w:pStyle w:val="Compact"/>
              <w:jc w:val="right"/>
            </w:pPr>
            <w:r>
              <w:t xml:space="preserve">3.76</w:t>
            </w:r>
          </w:p>
        </w:tc>
        <w:tc>
          <w:tcPr/>
          <w:p>
            <w:pPr>
              <w:pStyle w:val="Compact"/>
              <w:jc w:val="right"/>
            </w:pPr>
            <w:r>
              <w:t xml:space="preserve">0.19</w:t>
            </w:r>
          </w:p>
        </w:tc>
        <w:tc>
          <w:tcPr/>
          <w:p>
            <w:pPr>
              <w:pStyle w:val="Compact"/>
              <w:jc w:val="right"/>
            </w:pPr>
            <w:r>
              <w:t xml:space="preserve">43,568</w:t>
            </w:r>
          </w:p>
        </w:tc>
      </w:tr>
      <w:tr>
        <w:tc>
          <w:tcPr/>
          <w:p>
            <w:pPr>
              <w:pStyle w:val="Compact"/>
            </w:pPr>
            <w:r>
              <w:t xml:space="preserve">Below 100% FPL, %</w:t>
            </w:r>
          </w:p>
        </w:tc>
        <w:tc>
          <w:tcPr/>
          <w:p>
            <w:pPr>
              <w:pStyle w:val="Compact"/>
              <w:jc w:val="right"/>
            </w:pPr>
            <w:r>
              <w:t xml:space="preserve">12.29</w:t>
            </w:r>
          </w:p>
        </w:tc>
        <w:tc>
          <w:tcPr/>
          <w:p>
            <w:pPr>
              <w:pStyle w:val="Compact"/>
              <w:jc w:val="right"/>
            </w:pPr>
            <w:r>
              <w:t xml:space="preserve">0.34</w:t>
            </w:r>
          </w:p>
        </w:tc>
        <w:tc>
          <w:tcPr/>
          <w:p>
            <w:pPr>
              <w:pStyle w:val="Compact"/>
              <w:jc w:val="right"/>
            </w:pPr>
            <w:r>
              <w:t xml:space="preserve">43,568</w:t>
            </w:r>
          </w:p>
        </w:tc>
      </w:tr>
      <w:tr>
        <w:tc>
          <w:tcPr/>
          <w:p>
            <w:pPr>
              <w:pStyle w:val="Compact"/>
            </w:pPr>
            <w:r>
              <w:t xml:space="preserve">100-124% FPL, %</w:t>
            </w:r>
          </w:p>
        </w:tc>
        <w:tc>
          <w:tcPr/>
          <w:p>
            <w:pPr>
              <w:pStyle w:val="Compact"/>
              <w:jc w:val="right"/>
            </w:pPr>
            <w:r>
              <w:t xml:space="preserve">4.06</w:t>
            </w:r>
          </w:p>
        </w:tc>
        <w:tc>
          <w:tcPr/>
          <w:p>
            <w:pPr>
              <w:pStyle w:val="Compact"/>
              <w:jc w:val="right"/>
            </w:pPr>
            <w:r>
              <w:t xml:space="preserve">0.20</w:t>
            </w:r>
          </w:p>
        </w:tc>
        <w:tc>
          <w:tcPr/>
          <w:p>
            <w:pPr>
              <w:pStyle w:val="Compact"/>
              <w:jc w:val="right"/>
            </w:pPr>
            <w:r>
              <w:t xml:space="preserve">43,568</w:t>
            </w:r>
          </w:p>
        </w:tc>
      </w:tr>
      <w:tr>
        <w:tc>
          <w:tcPr/>
          <w:p>
            <w:pPr>
              <w:pStyle w:val="Compact"/>
            </w:pPr>
            <w:r>
              <w:t xml:space="preserve">125-199% FPL, %</w:t>
            </w:r>
          </w:p>
        </w:tc>
        <w:tc>
          <w:tcPr/>
          <w:p>
            <w:pPr>
              <w:pStyle w:val="Compact"/>
              <w:jc w:val="right"/>
            </w:pPr>
            <w:r>
              <w:t xml:space="preserve">12.27</w:t>
            </w:r>
          </w:p>
        </w:tc>
        <w:tc>
          <w:tcPr/>
          <w:p>
            <w:pPr>
              <w:pStyle w:val="Compact"/>
              <w:jc w:val="right"/>
            </w:pPr>
            <w:r>
              <w:t xml:space="preserve">0.34</w:t>
            </w:r>
          </w:p>
        </w:tc>
        <w:tc>
          <w:tcPr/>
          <w:p>
            <w:pPr>
              <w:pStyle w:val="Compact"/>
              <w:jc w:val="right"/>
            </w:pPr>
            <w:r>
              <w:t xml:space="preserve">43,568</w:t>
            </w:r>
          </w:p>
        </w:tc>
      </w:tr>
      <w:tr>
        <w:tc>
          <w:tcPr/>
          <w:p>
            <w:pPr>
              <w:pStyle w:val="Compact"/>
            </w:pPr>
            <w:r>
              <w:t xml:space="preserve">200-399% FPL, %</w:t>
            </w:r>
          </w:p>
        </w:tc>
        <w:tc>
          <w:tcPr/>
          <w:p>
            <w:pPr>
              <w:pStyle w:val="Compact"/>
              <w:jc w:val="right"/>
            </w:pPr>
            <w:r>
              <w:t xml:space="preserve">28.91</w:t>
            </w:r>
          </w:p>
        </w:tc>
        <w:tc>
          <w:tcPr/>
          <w:p>
            <w:pPr>
              <w:pStyle w:val="Compact"/>
              <w:jc w:val="right"/>
            </w:pPr>
            <w:r>
              <w:t xml:space="preserve">0.48</w:t>
            </w:r>
          </w:p>
        </w:tc>
        <w:tc>
          <w:tcPr/>
          <w:p>
            <w:pPr>
              <w:pStyle w:val="Compact"/>
              <w:jc w:val="right"/>
            </w:pPr>
            <w:r>
              <w:t xml:space="preserve">43,568</w:t>
            </w:r>
          </w:p>
        </w:tc>
      </w:tr>
      <w:tr>
        <w:tc>
          <w:tcPr/>
          <w:p>
            <w:pPr>
              <w:pStyle w:val="Compact"/>
            </w:pPr>
            <w:r>
              <w:t xml:space="preserve">400% FPL or more, %</w:t>
            </w:r>
          </w:p>
        </w:tc>
        <w:tc>
          <w:tcPr/>
          <w:p>
            <w:pPr>
              <w:pStyle w:val="Compact"/>
              <w:jc w:val="right"/>
            </w:pPr>
            <w:r>
              <w:t xml:space="preserve">42.48</w:t>
            </w:r>
          </w:p>
        </w:tc>
        <w:tc>
          <w:tcPr/>
          <w:p>
            <w:pPr>
              <w:pStyle w:val="Compact"/>
              <w:jc w:val="right"/>
            </w:pPr>
            <w:r>
              <w:t xml:space="preserve">0.58</w:t>
            </w:r>
          </w:p>
        </w:tc>
        <w:tc>
          <w:tcPr/>
          <w:p>
            <w:pPr>
              <w:pStyle w:val="Compact"/>
              <w:jc w:val="right"/>
            </w:pPr>
            <w:r>
              <w:t xml:space="preserve">43,568</w:t>
            </w:r>
          </w:p>
        </w:tc>
      </w:tr>
      <w:tr>
        <w:tc>
          <w:tcPr/>
          <w:p>
            <w:pPr>
              <w:pStyle w:val="Compact"/>
            </w:pPr>
            <w:r>
              <w:t xml:space="preserve">Any private coverage, %</w:t>
            </w:r>
          </w:p>
        </w:tc>
        <w:tc>
          <w:tcPr/>
          <w:p>
            <w:pPr>
              <w:pStyle w:val="Compact"/>
              <w:jc w:val="right"/>
            </w:pPr>
            <w:r>
              <w:t xml:space="preserve">65.95</w:t>
            </w:r>
          </w:p>
        </w:tc>
        <w:tc>
          <w:tcPr/>
          <w:p>
            <w:pPr>
              <w:pStyle w:val="Compact"/>
              <w:jc w:val="right"/>
            </w:pPr>
            <w:r>
              <w:t xml:space="preserve">0.50</w:t>
            </w:r>
          </w:p>
        </w:tc>
        <w:tc>
          <w:tcPr/>
          <w:p>
            <w:pPr>
              <w:pStyle w:val="Compact"/>
              <w:jc w:val="right"/>
            </w:pPr>
            <w:r>
              <w:t xml:space="preserve">43,568</w:t>
            </w:r>
          </w:p>
        </w:tc>
      </w:tr>
      <w:tr>
        <w:tc>
          <w:tcPr/>
          <w:p>
            <w:pPr>
              <w:pStyle w:val="Compact"/>
            </w:pPr>
            <w:r>
              <w:t xml:space="preserve">Public coverage only, %</w:t>
            </w:r>
          </w:p>
        </w:tc>
        <w:tc>
          <w:tcPr/>
          <w:p>
            <w:pPr>
              <w:pStyle w:val="Compact"/>
              <w:jc w:val="right"/>
            </w:pPr>
            <w:r>
              <w:t xml:space="preserve">27.35</w:t>
            </w:r>
          </w:p>
        </w:tc>
        <w:tc>
          <w:tcPr/>
          <w:p>
            <w:pPr>
              <w:pStyle w:val="Compact"/>
              <w:jc w:val="right"/>
            </w:pPr>
            <w:r>
              <w:t xml:space="preserve">0.44</w:t>
            </w:r>
          </w:p>
        </w:tc>
        <w:tc>
          <w:tcPr/>
          <w:p>
            <w:pPr>
              <w:pStyle w:val="Compact"/>
              <w:jc w:val="right"/>
            </w:pPr>
            <w:r>
              <w:t xml:space="preserve">43,568</w:t>
            </w:r>
          </w:p>
        </w:tc>
      </w:tr>
      <w:tr>
        <w:tc>
          <w:tcPr/>
          <w:p>
            <w:pPr>
              <w:pStyle w:val="Compact"/>
            </w:pPr>
            <w:r>
              <w:t xml:space="preserve">Uninsured all year, %</w:t>
            </w:r>
          </w:p>
        </w:tc>
        <w:tc>
          <w:tcPr/>
          <w:p>
            <w:pPr>
              <w:pStyle w:val="Compact"/>
              <w:jc w:val="right"/>
            </w:pPr>
            <w:r>
              <w:t xml:space="preserve">6.70</w:t>
            </w:r>
          </w:p>
        </w:tc>
        <w:tc>
          <w:tcPr/>
          <w:p>
            <w:pPr>
              <w:pStyle w:val="Compact"/>
              <w:jc w:val="right"/>
            </w:pPr>
            <w:r>
              <w:t xml:space="preserve">0.24</w:t>
            </w:r>
          </w:p>
        </w:tc>
        <w:tc>
          <w:tcPr/>
          <w:p>
            <w:pPr>
              <w:pStyle w:val="Compact"/>
              <w:jc w:val="right"/>
            </w:pPr>
            <w:r>
              <w:t xml:space="preserve">43,568</w:t>
            </w:r>
          </w:p>
        </w:tc>
      </w:tr>
      <w:tr>
        <w:tc>
          <w:tcPr/>
          <w:p>
            <w:pPr>
              <w:pStyle w:val="Compact"/>
            </w:pPr>
            <w:r>
              <w:t xml:space="preserve">Fair or poor perceived health, %</w:t>
            </w:r>
          </w:p>
        </w:tc>
        <w:tc>
          <w:tcPr/>
          <w:p>
            <w:pPr>
              <w:pStyle w:val="Compact"/>
              <w:jc w:val="right"/>
            </w:pPr>
            <w:r>
              <w:t xml:space="preserve">9.64</w:t>
            </w:r>
          </w:p>
        </w:tc>
        <w:tc>
          <w:tcPr/>
          <w:p>
            <w:pPr>
              <w:pStyle w:val="Compact"/>
              <w:jc w:val="right"/>
            </w:pPr>
            <w:r>
              <w:t xml:space="preserve">0.21</w:t>
            </w:r>
          </w:p>
        </w:tc>
        <w:tc>
          <w:tcPr/>
          <w:p>
            <w:pPr>
              <w:pStyle w:val="Compact"/>
              <w:jc w:val="right"/>
            </w:pPr>
            <w:r>
              <w:t xml:space="preserve">43,396</w:t>
            </w:r>
          </w:p>
        </w:tc>
      </w:tr>
      <w:tr>
        <w:tc>
          <w:tcPr/>
          <w:p>
            <w:pPr>
              <w:pStyle w:val="Compact"/>
            </w:pPr>
            <w:r>
              <w:t xml:space="preserve">Needs help with ADL or IADL, %</w:t>
            </w:r>
          </w:p>
        </w:tc>
        <w:tc>
          <w:tcPr/>
          <w:p>
            <w:pPr>
              <w:pStyle w:val="Compact"/>
              <w:jc w:val="right"/>
            </w:pPr>
            <w:r>
              <w:t xml:space="preserve">2.72</w:t>
            </w:r>
          </w:p>
        </w:tc>
        <w:tc>
          <w:tcPr/>
          <w:p>
            <w:pPr>
              <w:pStyle w:val="Compact"/>
              <w:jc w:val="right"/>
            </w:pPr>
            <w:r>
              <w:t xml:space="preserve">0.10</w:t>
            </w:r>
          </w:p>
        </w:tc>
        <w:tc>
          <w:tcPr/>
          <w:p>
            <w:pPr>
              <w:pStyle w:val="Compact"/>
              <w:jc w:val="right"/>
            </w:pPr>
            <w:r>
              <w:t xml:space="preserve">43,568</w:t>
            </w:r>
          </w:p>
        </w:tc>
      </w:tr>
      <w:tr>
        <w:tc>
          <w:tcPr/>
          <w:p>
            <w:pPr>
              <w:pStyle w:val="Compact"/>
            </w:pPr>
            <w:r>
              <w:t xml:space="preserve">Any year-1 condition (CCSR category), %</w:t>
            </w:r>
          </w:p>
        </w:tc>
        <w:tc>
          <w:tcPr/>
          <w:p>
            <w:pPr>
              <w:pStyle w:val="Compact"/>
              <w:jc w:val="right"/>
            </w:pPr>
            <w:r>
              <w:t xml:space="preserve">69.95</w:t>
            </w:r>
          </w:p>
        </w:tc>
        <w:tc>
          <w:tcPr/>
          <w:p>
            <w:pPr>
              <w:pStyle w:val="Compact"/>
              <w:jc w:val="right"/>
            </w:pPr>
            <w:r>
              <w:t xml:space="preserve">0.39</w:t>
            </w:r>
          </w:p>
        </w:tc>
        <w:tc>
          <w:tcPr/>
          <w:p>
            <w:pPr>
              <w:pStyle w:val="Compact"/>
              <w:jc w:val="right"/>
            </w:pPr>
            <w:r>
              <w:t xml:space="preserve">43,568</w:t>
            </w:r>
          </w:p>
        </w:tc>
      </w:tr>
      <w:tr>
        <w:tc>
          <w:tcPr/>
          <w:p>
            <w:pPr>
              <w:pStyle w:val="Compact"/>
            </w:pPr>
            <w:r>
              <w:t xml:space="preserve">Year-1 CCSR categories, mean</w:t>
            </w:r>
          </w:p>
        </w:tc>
        <w:tc>
          <w:tcPr/>
          <w:p>
            <w:pPr>
              <w:pStyle w:val="Compact"/>
              <w:jc w:val="right"/>
            </w:pPr>
            <w:r>
              <w:t xml:space="preserve">2.79</w:t>
            </w:r>
          </w:p>
        </w:tc>
        <w:tc>
          <w:tcPr/>
          <w:p>
            <w:pPr>
              <w:pStyle w:val="Compact"/>
              <w:jc w:val="right"/>
            </w:pPr>
            <w:r>
              <w:t xml:space="preserve">0.03</w:t>
            </w:r>
          </w:p>
        </w:tc>
        <w:tc>
          <w:tcPr/>
          <w:p>
            <w:pPr>
              <w:pStyle w:val="Compact"/>
              <w:jc w:val="right"/>
            </w:pPr>
            <w:r>
              <w:t xml:space="preserve">43,568</w:t>
            </w:r>
          </w:p>
        </w:tc>
      </w:tr>
      <w:tr>
        <w:tc>
          <w:tcPr/>
          <w:p>
            <w:pPr>
              <w:pStyle w:val="Compact"/>
            </w:pPr>
            <w:r>
              <w:t xml:space="preserve">Any mental health condition, %</w:t>
            </w:r>
          </w:p>
        </w:tc>
        <w:tc>
          <w:tcPr/>
          <w:p>
            <w:pPr>
              <w:pStyle w:val="Compact"/>
              <w:jc w:val="right"/>
            </w:pPr>
            <w:r>
              <w:t xml:space="preserve">15.80</w:t>
            </w:r>
          </w:p>
        </w:tc>
        <w:tc>
          <w:tcPr/>
          <w:p>
            <w:pPr>
              <w:pStyle w:val="Compact"/>
              <w:jc w:val="right"/>
            </w:pPr>
            <w:r>
              <w:t xml:space="preserve">0.28</w:t>
            </w:r>
          </w:p>
        </w:tc>
        <w:tc>
          <w:tcPr/>
          <w:p>
            <w:pPr>
              <w:pStyle w:val="Compact"/>
              <w:jc w:val="right"/>
            </w:pPr>
            <w:r>
              <w:t xml:space="preserve">43,568</w:t>
            </w:r>
          </w:p>
        </w:tc>
      </w:tr>
      <w:tr>
        <w:tc>
          <w:tcPr/>
          <w:p>
            <w:pPr>
              <w:pStyle w:val="Compact"/>
            </w:pPr>
            <w:r>
              <w:t xml:space="preserve">Year-1 spending, mean $</w:t>
            </w:r>
          </w:p>
        </w:tc>
        <w:tc>
          <w:tcPr/>
          <w:p>
            <w:pPr>
              <w:pStyle w:val="Compact"/>
              <w:jc w:val="right"/>
            </w:pPr>
            <w:r>
              <w:t xml:space="preserve">7,285.40</w:t>
            </w:r>
          </w:p>
        </w:tc>
        <w:tc>
          <w:tcPr/>
          <w:p>
            <w:pPr>
              <w:pStyle w:val="Compact"/>
              <w:jc w:val="right"/>
            </w:pPr>
            <w:r>
              <w:t xml:space="preserve">157.46</w:t>
            </w:r>
          </w:p>
        </w:tc>
        <w:tc>
          <w:tcPr/>
          <w:p>
            <w:pPr>
              <w:pStyle w:val="Compact"/>
              <w:jc w:val="right"/>
            </w:pPr>
            <w:r>
              <w:t xml:space="preserve">43,568</w:t>
            </w:r>
          </w:p>
        </w:tc>
      </w:tr>
      <w:tr>
        <w:tc>
          <w:tcPr/>
          <w:p>
            <w:pPr>
              <w:pStyle w:val="Compact"/>
            </w:pPr>
            <w:r>
              <w:t xml:space="preserve">Year-2 spending, mean $</w:t>
            </w:r>
          </w:p>
        </w:tc>
        <w:tc>
          <w:tcPr/>
          <w:p>
            <w:pPr>
              <w:pStyle w:val="Compact"/>
              <w:jc w:val="right"/>
            </w:pPr>
            <w:r>
              <w:t xml:space="preserve">7,538.02</w:t>
            </w:r>
          </w:p>
        </w:tc>
        <w:tc>
          <w:tcPr/>
          <w:p>
            <w:pPr>
              <w:pStyle w:val="Compact"/>
              <w:jc w:val="right"/>
            </w:pPr>
            <w:r>
              <w:t xml:space="preserve">143.02</w:t>
            </w:r>
          </w:p>
        </w:tc>
        <w:tc>
          <w:tcPr/>
          <w:p>
            <w:pPr>
              <w:pStyle w:val="Compact"/>
              <w:jc w:val="right"/>
            </w:pPr>
            <w:r>
              <w:t xml:space="preserve">43,568</w:t>
            </w:r>
          </w:p>
        </w:tc>
      </w:tr>
      <w:tr>
        <w:tc>
          <w:tcPr/>
          <w:p>
            <w:pPr>
              <w:pStyle w:val="Compact"/>
            </w:pPr>
            <w:r>
              <w:t xml:space="preserve">Year-2 spending of zero, %</w:t>
            </w:r>
          </w:p>
        </w:tc>
        <w:tc>
          <w:tcPr/>
          <w:p>
            <w:pPr>
              <w:pStyle w:val="Compact"/>
              <w:jc w:val="right"/>
            </w:pPr>
            <w:r>
              <w:t xml:space="preserve">14.97</w:t>
            </w:r>
          </w:p>
        </w:tc>
        <w:tc>
          <w:tcPr/>
          <w:p>
            <w:pPr>
              <w:pStyle w:val="Compact"/>
              <w:jc w:val="right"/>
            </w:pPr>
            <w:r>
              <w:t xml:space="preserve">0.32</w:t>
            </w:r>
          </w:p>
        </w:tc>
        <w:tc>
          <w:tcPr/>
          <w:p>
            <w:pPr>
              <w:pStyle w:val="Compact"/>
              <w:jc w:val="right"/>
            </w:pPr>
            <w:r>
              <w:t xml:space="preserve">43,568</w:t>
            </w:r>
          </w:p>
        </w:tc>
      </w:tr>
      <w:tr>
        <w:tc>
          <w:tcPr/>
          <w:p>
            <w:pPr>
              <w:pStyle w:val="Compact"/>
            </w:pPr>
            <w:r>
              <w:t xml:space="preserve">Year-2 spending, median $</w:t>
            </w:r>
          </w:p>
        </w:tc>
        <w:tc>
          <w:tcPr/>
          <w:p>
            <w:pPr>
              <w:pStyle w:val="Compact"/>
              <w:jc w:val="right"/>
            </w:pPr>
            <w:r>
              <w:t xml:space="preserve">1,486.14</w:t>
            </w:r>
          </w:p>
        </w:tc>
        <w:tc>
          <w:tcPr/>
          <w:p>
            <w:pPr>
              <w:pStyle w:val="Compact"/>
            </w:pPr>
          </w:p>
        </w:tc>
        <w:tc>
          <w:tcPr/>
          <w:p>
            <w:pPr>
              <w:pStyle w:val="Compact"/>
              <w:jc w:val="right"/>
            </w:pPr>
            <w:r>
              <w:t xml:space="preserve">43,568</w:t>
            </w:r>
          </w:p>
        </w:tc>
      </w:tr>
      <w:tr>
        <w:tc>
          <w:tcPr/>
          <w:p>
            <w:pPr>
              <w:pStyle w:val="Compact"/>
            </w:pPr>
            <w:r>
              <w:t xml:space="preserve">Year-2 spending, 90th percentile $</w:t>
            </w:r>
          </w:p>
        </w:tc>
        <w:tc>
          <w:tcPr/>
          <w:p>
            <w:pPr>
              <w:pStyle w:val="Compact"/>
              <w:jc w:val="right"/>
            </w:pPr>
            <w:r>
              <w:t xml:space="preserve">18,256.33</w:t>
            </w:r>
          </w:p>
        </w:tc>
        <w:tc>
          <w:tcPr/>
          <w:p>
            <w:pPr>
              <w:pStyle w:val="Compact"/>
            </w:pPr>
          </w:p>
        </w:tc>
        <w:tc>
          <w:tcPr/>
          <w:p>
            <w:pPr>
              <w:pStyle w:val="Compact"/>
              <w:jc w:val="right"/>
            </w:pPr>
            <w:r>
              <w:t xml:space="preserve">43,568</w:t>
            </w:r>
          </w:p>
        </w:tc>
      </w:tr>
      <w:tr>
        <w:tc>
          <w:tcPr/>
          <w:p>
            <w:pPr>
              <w:pStyle w:val="Compact"/>
            </w:pPr>
            <w:r>
              <w:t xml:space="preserve">Year-2 spending, 99th percentile $</w:t>
            </w:r>
          </w:p>
        </w:tc>
        <w:tc>
          <w:tcPr/>
          <w:p>
            <w:pPr>
              <w:pStyle w:val="Compact"/>
              <w:jc w:val="right"/>
            </w:pPr>
            <w:r>
              <w:t xml:space="preserve">91,441.62</w:t>
            </w:r>
          </w:p>
        </w:tc>
        <w:tc>
          <w:tcPr/>
          <w:p>
            <w:pPr>
              <w:pStyle w:val="Compact"/>
            </w:pPr>
          </w:p>
        </w:tc>
        <w:tc>
          <w:tcPr/>
          <w:p>
            <w:pPr>
              <w:pStyle w:val="Compact"/>
              <w:jc w:val="right"/>
            </w:pPr>
            <w:r>
              <w:t xml:space="preserve">43,568</w:t>
            </w:r>
          </w:p>
        </w:tc>
      </w:tr>
      <w:tr>
        <w:tc>
          <w:tcPr/>
          <w:p>
            <w:pPr>
              <w:pStyle w:val="Compact"/>
            </w:pPr>
            <w:r>
              <w:t xml:space="preserve">Share of year-2 spending by the top 5% of spenders, %</w:t>
            </w:r>
          </w:p>
        </w:tc>
        <w:tc>
          <w:tcPr/>
          <w:p>
            <w:pPr>
              <w:pStyle w:val="Compact"/>
              <w:jc w:val="right"/>
            </w:pPr>
            <w:r>
              <w:t xml:space="preserve">49.97</w:t>
            </w:r>
          </w:p>
        </w:tc>
        <w:tc>
          <w:tcPr/>
          <w:p>
            <w:pPr>
              <w:pStyle w:val="Compact"/>
            </w:pPr>
          </w:p>
        </w:tc>
        <w:tc>
          <w:tcPr/>
          <w:p>
            <w:pPr>
              <w:pStyle w:val="Compact"/>
              <w:jc w:val="right"/>
            </w:pPr>
            <w:r>
              <w:t xml:space="preserve">43,568</w:t>
            </w:r>
          </w:p>
        </w:tc>
      </w:tr>
    </w:tbl>
    <w:p>
      <w:pPr>
        <w:pStyle w:val="BodyText"/>
      </w:pPr>
      <w:r>
        <w:rPr>
          <w:b/>
          <w:bCs/>
        </w:rPr>
        <w:t xml:space="preserve">Table 2.</w:t>
      </w:r>
      <w:r>
        <w:t xml:space="preserve"> </w:t>
      </w:r>
      <w:r>
        <w:t xml:space="preserve">Out-of-sample accuracy by model, primary feature set (F3).</w:t>
      </w:r>
    </w:p>
    <w:p>
      <w:pPr>
        <w:pStyle w:val="BodyText"/>
      </w:pPr>
      <w:r>
        <w:rPr>
          <w:i/>
          <w:iCs/>
        </w:rPr>
        <w:t xml:space="preserve">Five survey folds, three repeats. Intervals from a bootstrap over PSUs within strata applied to repeat-averaged out-of-fold predictions. CPM is Cumming’s prediction measure. Top-10% capture is the weighted share of the true top decile of spenders placed in the model’s top decile.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Model</w:t>
            </w:r>
          </w:p>
        </w:tc>
        <w:tc>
          <w:tcPr/>
          <w:p>
            <w:pPr>
              <w:pStyle w:val="Compact"/>
              <w:jc w:val="right"/>
            </w:pPr>
            <w:r>
              <w:t xml:space="preserve">R²</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CPM</w:t>
            </w:r>
          </w:p>
        </w:tc>
        <w:tc>
          <w:tcPr/>
          <w:p>
            <w:pPr>
              <w:pStyle w:val="Compact"/>
              <w:jc w:val="right"/>
            </w:pPr>
            <w:r>
              <w:t xml:space="preserve">MAE</w:t>
            </w:r>
          </w:p>
        </w:tc>
        <w:tc>
          <w:tcPr/>
          <w:p>
            <w:pPr>
              <w:pStyle w:val="Compact"/>
              <w:jc w:val="right"/>
            </w:pPr>
            <w:r>
              <w:t xml:space="preserve">PR bottom decile</w:t>
            </w:r>
          </w:p>
        </w:tc>
        <w:tc>
          <w:tcPr/>
          <w:p>
            <w:pPr>
              <w:pStyle w:val="Compact"/>
              <w:jc w:val="right"/>
            </w:pPr>
            <w:r>
              <w:t xml:space="preserve">PR top decile</w:t>
            </w:r>
          </w:p>
        </w:tc>
        <w:tc>
          <w:tcPr/>
          <w:p>
            <w:pPr>
              <w:pStyle w:val="Compact"/>
              <w:jc w:val="right"/>
            </w:pPr>
            <w:r>
              <w:t xml:space="preserve">Top-10% capture</w:t>
            </w:r>
          </w:p>
        </w:tc>
      </w:tr>
      <w:tr>
        <w:tc>
          <w:tcPr/>
          <w:p>
            <w:pPr>
              <w:pStyle w:val="Compact"/>
            </w:pPr>
            <w:r>
              <w:t xml:space="preserve">WLS</w:t>
            </w:r>
          </w:p>
        </w:tc>
        <w:tc>
          <w:tcPr/>
          <w:p>
            <w:pPr>
              <w:pStyle w:val="Compact"/>
              <w:jc w:val="right"/>
            </w:pPr>
            <w:r>
              <w:t xml:space="preserve">0.125</w:t>
            </w:r>
          </w:p>
        </w:tc>
        <w:tc>
          <w:tcPr/>
          <w:p>
            <w:pPr>
              <w:pStyle w:val="Compact"/>
              <w:jc w:val="right"/>
            </w:pPr>
            <w:r>
              <w:t xml:space="preserve">0.101</w:t>
            </w:r>
          </w:p>
        </w:tc>
        <w:tc>
          <w:tcPr/>
          <w:p>
            <w:pPr>
              <w:pStyle w:val="Compact"/>
              <w:jc w:val="right"/>
            </w:pPr>
            <w:r>
              <w:t xml:space="preserve">0.158</w:t>
            </w:r>
          </w:p>
        </w:tc>
        <w:tc>
          <w:tcPr/>
          <w:p>
            <w:pPr>
              <w:pStyle w:val="Compact"/>
              <w:jc w:val="right"/>
            </w:pPr>
            <w:r>
              <w:t xml:space="preserve">0.151</w:t>
            </w:r>
          </w:p>
        </w:tc>
        <w:tc>
          <w:tcPr/>
          <w:p>
            <w:pPr>
              <w:pStyle w:val="Compact"/>
              <w:jc w:val="right"/>
            </w:pPr>
            <w:r>
              <w:t xml:space="preserve">$7,978</w:t>
            </w:r>
          </w:p>
        </w:tc>
        <w:tc>
          <w:tcPr/>
          <w:p>
            <w:pPr>
              <w:pStyle w:val="Compact"/>
              <w:jc w:val="right"/>
            </w:pPr>
            <w:r>
              <w:t xml:space="preserve">-1.91</w:t>
            </w:r>
          </w:p>
        </w:tc>
        <w:tc>
          <w:tcPr/>
          <w:p>
            <w:pPr>
              <w:pStyle w:val="Compact"/>
              <w:jc w:val="right"/>
            </w:pPr>
            <w:r>
              <w:t xml:space="preserve">0.93</w:t>
            </w:r>
          </w:p>
        </w:tc>
        <w:tc>
          <w:tcPr/>
          <w:p>
            <w:pPr>
              <w:pStyle w:val="Compact"/>
              <w:jc w:val="right"/>
            </w:pPr>
            <w:r>
              <w:t xml:space="preserve">44%</w:t>
            </w:r>
          </w:p>
        </w:tc>
      </w:tr>
      <w:tr>
        <w:tc>
          <w:tcPr/>
          <w:p>
            <w:pPr>
              <w:pStyle w:val="Compact"/>
            </w:pPr>
            <w:r>
              <w:t xml:space="preserve">Tweedie GLM</w:t>
            </w:r>
          </w:p>
        </w:tc>
        <w:tc>
          <w:tcPr/>
          <w:p>
            <w:pPr>
              <w:pStyle w:val="Compact"/>
              <w:jc w:val="right"/>
            </w:pPr>
            <w:r>
              <w:t xml:space="preserve">0.135</w:t>
            </w:r>
          </w:p>
        </w:tc>
        <w:tc>
          <w:tcPr/>
          <w:p>
            <w:pPr>
              <w:pStyle w:val="Compact"/>
              <w:jc w:val="right"/>
            </w:pPr>
            <w:r>
              <w:t xml:space="preserve">0.104</w:t>
            </w:r>
          </w:p>
        </w:tc>
        <w:tc>
          <w:tcPr/>
          <w:p>
            <w:pPr>
              <w:pStyle w:val="Compact"/>
              <w:jc w:val="right"/>
            </w:pPr>
            <w:r>
              <w:t xml:space="preserve">0.180</w:t>
            </w:r>
          </w:p>
        </w:tc>
        <w:tc>
          <w:tcPr/>
          <w:p>
            <w:pPr>
              <w:pStyle w:val="Compact"/>
              <w:jc w:val="right"/>
            </w:pPr>
            <w:r>
              <w:t xml:space="preserve">0.247</w:t>
            </w:r>
          </w:p>
        </w:tc>
        <w:tc>
          <w:tcPr/>
          <w:p>
            <w:pPr>
              <w:pStyle w:val="Compact"/>
              <w:jc w:val="right"/>
            </w:pPr>
            <w:r>
              <w:t xml:space="preserve">$7,077</w:t>
            </w:r>
          </w:p>
        </w:tc>
        <w:tc>
          <w:tcPr/>
          <w:p>
            <w:pPr>
              <w:pStyle w:val="Compact"/>
              <w:jc w:val="right"/>
            </w:pPr>
            <w:r>
              <w:t xml:space="preserve">1.00</w:t>
            </w:r>
          </w:p>
        </w:tc>
        <w:tc>
          <w:tcPr/>
          <w:p>
            <w:pPr>
              <w:pStyle w:val="Compact"/>
              <w:jc w:val="right"/>
            </w:pPr>
            <w:r>
              <w:t xml:space="preserve">0.97</w:t>
            </w:r>
          </w:p>
        </w:tc>
        <w:tc>
          <w:tcPr/>
          <w:p>
            <w:pPr>
              <w:pStyle w:val="Compact"/>
              <w:jc w:val="right"/>
            </w:pPr>
            <w:r>
              <w:t xml:space="preserve">47%</w:t>
            </w:r>
          </w:p>
        </w:tc>
      </w:tr>
      <w:tr>
        <w:tc>
          <w:tcPr/>
          <w:p>
            <w:pPr>
              <w:pStyle w:val="Compact"/>
            </w:pPr>
            <w:r>
              <w:t xml:space="preserve">Two-part</w:t>
            </w:r>
          </w:p>
        </w:tc>
        <w:tc>
          <w:tcPr/>
          <w:p>
            <w:pPr>
              <w:pStyle w:val="Compact"/>
              <w:jc w:val="right"/>
            </w:pPr>
            <w:r>
              <w:t xml:space="preserve">0.101</w:t>
            </w:r>
          </w:p>
        </w:tc>
        <w:tc>
          <w:tcPr/>
          <w:p>
            <w:pPr>
              <w:pStyle w:val="Compact"/>
              <w:jc w:val="right"/>
            </w:pPr>
            <w:r>
              <w:t xml:space="preserve">0.077</w:t>
            </w:r>
          </w:p>
        </w:tc>
        <w:tc>
          <w:tcPr/>
          <w:p>
            <w:pPr>
              <w:pStyle w:val="Compact"/>
              <w:jc w:val="right"/>
            </w:pPr>
            <w:r>
              <w:t xml:space="preserve">0.134</w:t>
            </w:r>
          </w:p>
        </w:tc>
        <w:tc>
          <w:tcPr/>
          <w:p>
            <w:pPr>
              <w:pStyle w:val="Compact"/>
              <w:jc w:val="right"/>
            </w:pPr>
            <w:r>
              <w:t xml:space="preserve">0.217</w:t>
            </w:r>
          </w:p>
        </w:tc>
        <w:tc>
          <w:tcPr/>
          <w:p>
            <w:pPr>
              <w:pStyle w:val="Compact"/>
              <w:jc w:val="right"/>
            </w:pPr>
            <w:r>
              <w:t xml:space="preserve">$7,359</w:t>
            </w:r>
          </w:p>
        </w:tc>
        <w:tc>
          <w:tcPr/>
          <w:p>
            <w:pPr>
              <w:pStyle w:val="Compact"/>
              <w:jc w:val="right"/>
            </w:pPr>
            <w:r>
              <w:t xml:space="preserve">0.98</w:t>
            </w:r>
          </w:p>
        </w:tc>
        <w:tc>
          <w:tcPr/>
          <w:p>
            <w:pPr>
              <w:pStyle w:val="Compact"/>
              <w:jc w:val="right"/>
            </w:pPr>
            <w:r>
              <w:t xml:space="preserve">0.99</w:t>
            </w:r>
          </w:p>
        </w:tc>
        <w:tc>
          <w:tcPr/>
          <w:p>
            <w:pPr>
              <w:pStyle w:val="Compact"/>
              <w:jc w:val="right"/>
            </w:pPr>
            <w:r>
              <w:t xml:space="preserve">44%</w:t>
            </w:r>
          </w:p>
        </w:tc>
      </w:tr>
      <w:tr>
        <w:tc>
          <w:tcPr/>
          <w:p>
            <w:pPr>
              <w:pStyle w:val="Compact"/>
            </w:pPr>
            <w:r>
              <w:t xml:space="preserve">Elastic net</w:t>
            </w:r>
          </w:p>
        </w:tc>
        <w:tc>
          <w:tcPr/>
          <w:p>
            <w:pPr>
              <w:pStyle w:val="Compact"/>
              <w:jc w:val="right"/>
            </w:pPr>
            <w:r>
              <w:t xml:space="preserve">0.117</w:t>
            </w:r>
          </w:p>
        </w:tc>
        <w:tc>
          <w:tcPr/>
          <w:p>
            <w:pPr>
              <w:pStyle w:val="Compact"/>
              <w:jc w:val="right"/>
            </w:pPr>
            <w:r>
              <w:t xml:space="preserve">0.092</w:t>
            </w:r>
          </w:p>
        </w:tc>
        <w:tc>
          <w:tcPr/>
          <w:p>
            <w:pPr>
              <w:pStyle w:val="Compact"/>
              <w:jc w:val="right"/>
            </w:pPr>
            <w:r>
              <w:t xml:space="preserve">0.152</w:t>
            </w:r>
          </w:p>
        </w:tc>
        <w:tc>
          <w:tcPr/>
          <w:p>
            <w:pPr>
              <w:pStyle w:val="Compact"/>
              <w:jc w:val="right"/>
            </w:pPr>
            <w:r>
              <w:t xml:space="preserve">0.197</w:t>
            </w:r>
          </w:p>
        </w:tc>
        <w:tc>
          <w:tcPr/>
          <w:p>
            <w:pPr>
              <w:pStyle w:val="Compact"/>
              <w:jc w:val="right"/>
            </w:pPr>
            <w:r>
              <w:t xml:space="preserve">$7,540</w:t>
            </w:r>
          </w:p>
        </w:tc>
        <w:tc>
          <w:tcPr/>
          <w:p>
            <w:pPr>
              <w:pStyle w:val="Compact"/>
              <w:jc w:val="right"/>
            </w:pPr>
            <w:r>
              <w:t xml:space="preserve">-0.86</w:t>
            </w:r>
          </w:p>
        </w:tc>
        <w:tc>
          <w:tcPr/>
          <w:p>
            <w:pPr>
              <w:pStyle w:val="Compact"/>
              <w:jc w:val="right"/>
            </w:pPr>
            <w:r>
              <w:t xml:space="preserve">0.93</w:t>
            </w:r>
          </w:p>
        </w:tc>
        <w:tc>
          <w:tcPr/>
          <w:p>
            <w:pPr>
              <w:pStyle w:val="Compact"/>
              <w:jc w:val="right"/>
            </w:pPr>
            <w:r>
              <w:t xml:space="preserve">42%</w:t>
            </w:r>
          </w:p>
        </w:tc>
      </w:tr>
      <w:tr>
        <w:tc>
          <w:tcPr/>
          <w:p>
            <w:pPr>
              <w:pStyle w:val="Compact"/>
            </w:pPr>
            <w:r>
              <w:t xml:space="preserve">LightGBM (Tweedie)</w:t>
            </w:r>
          </w:p>
        </w:tc>
        <w:tc>
          <w:tcPr/>
          <w:p>
            <w:pPr>
              <w:pStyle w:val="Compact"/>
              <w:jc w:val="right"/>
            </w:pPr>
            <w:r>
              <w:t xml:space="preserve">0.195</w:t>
            </w:r>
          </w:p>
        </w:tc>
        <w:tc>
          <w:tcPr/>
          <w:p>
            <w:pPr>
              <w:pStyle w:val="Compact"/>
              <w:jc w:val="right"/>
            </w:pPr>
            <w:r>
              <w:t xml:space="preserve">0.161</w:t>
            </w:r>
          </w:p>
        </w:tc>
        <w:tc>
          <w:tcPr/>
          <w:p>
            <w:pPr>
              <w:pStyle w:val="Compact"/>
              <w:jc w:val="right"/>
            </w:pPr>
            <w:r>
              <w:t xml:space="preserve">0.245</w:t>
            </w:r>
          </w:p>
        </w:tc>
        <w:tc>
          <w:tcPr/>
          <w:p>
            <w:pPr>
              <w:pStyle w:val="Compact"/>
              <w:jc w:val="right"/>
            </w:pPr>
            <w:r>
              <w:t xml:space="preserve">0.279</w:t>
            </w:r>
          </w:p>
        </w:tc>
        <w:tc>
          <w:tcPr/>
          <w:p>
            <w:pPr>
              <w:pStyle w:val="Compact"/>
              <w:jc w:val="right"/>
            </w:pPr>
            <w:r>
              <w:t xml:space="preserve">$6,770</w:t>
            </w:r>
          </w:p>
        </w:tc>
        <w:tc>
          <w:tcPr/>
          <w:p>
            <w:pPr>
              <w:pStyle w:val="Compact"/>
              <w:jc w:val="right"/>
            </w:pPr>
            <w:r>
              <w:t xml:space="preserve">1.02</w:t>
            </w:r>
          </w:p>
        </w:tc>
        <w:tc>
          <w:tcPr/>
          <w:p>
            <w:pPr>
              <w:pStyle w:val="Compact"/>
              <w:jc w:val="right"/>
            </w:pPr>
            <w:r>
              <w:t xml:space="preserve">0.98</w:t>
            </w:r>
          </w:p>
        </w:tc>
        <w:tc>
          <w:tcPr/>
          <w:p>
            <w:pPr>
              <w:pStyle w:val="Compact"/>
              <w:jc w:val="right"/>
            </w:pPr>
            <w:r>
              <w:t xml:space="preserve">48%</w:t>
            </w:r>
          </w:p>
        </w:tc>
      </w:tr>
      <w:tr>
        <w:tc>
          <w:tcPr/>
          <w:p>
            <w:pPr>
              <w:pStyle w:val="Compact"/>
            </w:pPr>
            <w:r>
              <w:t xml:space="preserve">LightGBM (squared error)</w:t>
            </w:r>
          </w:p>
        </w:tc>
        <w:tc>
          <w:tcPr/>
          <w:p>
            <w:pPr>
              <w:pStyle w:val="Compact"/>
              <w:jc w:val="right"/>
            </w:pPr>
            <w:r>
              <w:t xml:space="preserve">0.197</w:t>
            </w:r>
          </w:p>
        </w:tc>
        <w:tc>
          <w:tcPr/>
          <w:p>
            <w:pPr>
              <w:pStyle w:val="Compact"/>
              <w:jc w:val="right"/>
            </w:pPr>
            <w:r>
              <w:t xml:space="preserve">0.165</w:t>
            </w:r>
          </w:p>
        </w:tc>
        <w:tc>
          <w:tcPr/>
          <w:p>
            <w:pPr>
              <w:pStyle w:val="Compact"/>
              <w:jc w:val="right"/>
            </w:pPr>
            <w:r>
              <w:t xml:space="preserve">0.240</w:t>
            </w:r>
          </w:p>
        </w:tc>
        <w:tc>
          <w:tcPr/>
          <w:p>
            <w:pPr>
              <w:pStyle w:val="Compact"/>
              <w:jc w:val="right"/>
            </w:pPr>
            <w:r>
              <w:t xml:space="preserve">0.268</w:t>
            </w:r>
          </w:p>
        </w:tc>
        <w:tc>
          <w:tcPr/>
          <w:p>
            <w:pPr>
              <w:pStyle w:val="Compact"/>
              <w:jc w:val="right"/>
            </w:pPr>
            <w:r>
              <w:t xml:space="preserve">$6,881</w:t>
            </w:r>
          </w:p>
        </w:tc>
        <w:tc>
          <w:tcPr/>
          <w:p>
            <w:pPr>
              <w:pStyle w:val="Compact"/>
              <w:jc w:val="right"/>
            </w:pPr>
            <w:r>
              <w:t xml:space="preserve">1.58</w:t>
            </w:r>
          </w:p>
        </w:tc>
        <w:tc>
          <w:tcPr/>
          <w:p>
            <w:pPr>
              <w:pStyle w:val="Compact"/>
              <w:jc w:val="right"/>
            </w:pPr>
            <w:r>
              <w:t xml:space="preserve">0.97</w:t>
            </w:r>
          </w:p>
        </w:tc>
        <w:tc>
          <w:tcPr/>
          <w:p>
            <w:pPr>
              <w:pStyle w:val="Compact"/>
              <w:jc w:val="right"/>
            </w:pPr>
            <w:r>
              <w:t xml:space="preserve">48%</w:t>
            </w:r>
          </w:p>
        </w:tc>
      </w:tr>
      <w:tr>
        <w:tc>
          <w:tcPr/>
          <w:p>
            <w:pPr>
              <w:pStyle w:val="Compact"/>
            </w:pPr>
            <w:r>
              <w:t xml:space="preserve">Random forest</w:t>
            </w:r>
          </w:p>
        </w:tc>
        <w:tc>
          <w:tcPr/>
          <w:p>
            <w:pPr>
              <w:pStyle w:val="Compact"/>
              <w:jc w:val="right"/>
            </w:pPr>
            <w:r>
              <w:t xml:space="preserve">0.197</w:t>
            </w:r>
          </w:p>
        </w:tc>
        <w:tc>
          <w:tcPr/>
          <w:p>
            <w:pPr>
              <w:pStyle w:val="Compact"/>
              <w:jc w:val="right"/>
            </w:pPr>
            <w:r>
              <w:t xml:space="preserve">0.167</w:t>
            </w:r>
          </w:p>
        </w:tc>
        <w:tc>
          <w:tcPr/>
          <w:p>
            <w:pPr>
              <w:pStyle w:val="Compact"/>
              <w:jc w:val="right"/>
            </w:pPr>
            <w:r>
              <w:t xml:space="preserve">0.241</w:t>
            </w:r>
          </w:p>
        </w:tc>
        <w:tc>
          <w:tcPr/>
          <w:p>
            <w:pPr>
              <w:pStyle w:val="Compact"/>
              <w:jc w:val="right"/>
            </w:pPr>
            <w:r>
              <w:t xml:space="preserve">0.270</w:t>
            </w:r>
          </w:p>
        </w:tc>
        <w:tc>
          <w:tcPr/>
          <w:p>
            <w:pPr>
              <w:pStyle w:val="Compact"/>
              <w:jc w:val="right"/>
            </w:pPr>
            <w:r>
              <w:t xml:space="preserve">$6,856</w:t>
            </w:r>
          </w:p>
        </w:tc>
        <w:tc>
          <w:tcPr/>
          <w:p>
            <w:pPr>
              <w:pStyle w:val="Compact"/>
              <w:jc w:val="right"/>
            </w:pPr>
            <w:r>
              <w:t xml:space="preserve">0.75</w:t>
            </w:r>
          </w:p>
        </w:tc>
        <w:tc>
          <w:tcPr/>
          <w:p>
            <w:pPr>
              <w:pStyle w:val="Compact"/>
              <w:jc w:val="right"/>
            </w:pPr>
            <w:r>
              <w:t xml:space="preserve">0.97</w:t>
            </w:r>
          </w:p>
        </w:tc>
        <w:tc>
          <w:tcPr/>
          <w:p>
            <w:pPr>
              <w:pStyle w:val="Compact"/>
              <w:jc w:val="right"/>
            </w:pPr>
            <w:r>
              <w:t xml:space="preserve">48%</w:t>
            </w:r>
          </w:p>
        </w:tc>
      </w:tr>
      <w:tr>
        <w:tc>
          <w:tcPr/>
          <w:p>
            <w:pPr>
              <w:pStyle w:val="Compact"/>
            </w:pPr>
            <w:r>
              <w:t xml:space="preserve">Neural network</w:t>
            </w:r>
          </w:p>
        </w:tc>
        <w:tc>
          <w:tcPr/>
          <w:p>
            <w:pPr>
              <w:pStyle w:val="Compact"/>
              <w:jc w:val="right"/>
            </w:pPr>
            <w:r>
              <w:t xml:space="preserve">0.141</w:t>
            </w:r>
          </w:p>
        </w:tc>
        <w:tc>
          <w:tcPr/>
          <w:p>
            <w:pPr>
              <w:pStyle w:val="Compact"/>
              <w:jc w:val="right"/>
            </w:pPr>
            <w:r>
              <w:t xml:space="preserve">0.116</w:t>
            </w:r>
          </w:p>
        </w:tc>
        <w:tc>
          <w:tcPr/>
          <w:p>
            <w:pPr>
              <w:pStyle w:val="Compact"/>
              <w:jc w:val="right"/>
            </w:pPr>
            <w:r>
              <w:t xml:space="preserve">0.178</w:t>
            </w:r>
          </w:p>
        </w:tc>
        <w:tc>
          <w:tcPr/>
          <w:p>
            <w:pPr>
              <w:pStyle w:val="Compact"/>
              <w:jc w:val="right"/>
            </w:pPr>
            <w:r>
              <w:t xml:space="preserve">0.249</w:t>
            </w:r>
          </w:p>
        </w:tc>
        <w:tc>
          <w:tcPr/>
          <w:p>
            <w:pPr>
              <w:pStyle w:val="Compact"/>
              <w:jc w:val="right"/>
            </w:pPr>
            <w:r>
              <w:t xml:space="preserve">$7,053</w:t>
            </w:r>
          </w:p>
        </w:tc>
        <w:tc>
          <w:tcPr/>
          <w:p>
            <w:pPr>
              <w:pStyle w:val="Compact"/>
              <w:jc w:val="right"/>
            </w:pPr>
            <w:r>
              <w:t xml:space="preserve">1.00</w:t>
            </w:r>
          </w:p>
        </w:tc>
        <w:tc>
          <w:tcPr/>
          <w:p>
            <w:pPr>
              <w:pStyle w:val="Compact"/>
              <w:jc w:val="right"/>
            </w:pPr>
            <w:r>
              <w:t xml:space="preserve">0.97</w:t>
            </w:r>
          </w:p>
        </w:tc>
        <w:tc>
          <w:tcPr/>
          <w:p>
            <w:pPr>
              <w:pStyle w:val="Compact"/>
              <w:jc w:val="right"/>
            </w:pPr>
            <w:r>
              <w:t xml:space="preserve">44%</w:t>
            </w:r>
          </w:p>
        </w:tc>
      </w:tr>
      <w:tr>
        <w:tc>
          <w:tcPr/>
          <w:p>
            <w:pPr>
              <w:pStyle w:val="Compact"/>
            </w:pPr>
            <w:r>
              <w:t xml:space="preserve">CANN</w:t>
            </w:r>
          </w:p>
        </w:tc>
        <w:tc>
          <w:tcPr/>
          <w:p>
            <w:pPr>
              <w:pStyle w:val="Compact"/>
              <w:jc w:val="right"/>
            </w:pPr>
            <w:r>
              <w:t xml:space="preserve">0.134</w:t>
            </w:r>
          </w:p>
        </w:tc>
        <w:tc>
          <w:tcPr/>
          <w:p>
            <w:pPr>
              <w:pStyle w:val="Compact"/>
              <w:jc w:val="right"/>
            </w:pPr>
            <w:r>
              <w:t xml:space="preserve">0.103</w:t>
            </w:r>
          </w:p>
        </w:tc>
        <w:tc>
          <w:tcPr/>
          <w:p>
            <w:pPr>
              <w:pStyle w:val="Compact"/>
              <w:jc w:val="right"/>
            </w:pPr>
            <w:r>
              <w:t xml:space="preserve">0.179</w:t>
            </w:r>
          </w:p>
        </w:tc>
        <w:tc>
          <w:tcPr/>
          <w:p>
            <w:pPr>
              <w:pStyle w:val="Compact"/>
              <w:jc w:val="right"/>
            </w:pPr>
            <w:r>
              <w:t xml:space="preserve">0.247</w:t>
            </w:r>
          </w:p>
        </w:tc>
        <w:tc>
          <w:tcPr/>
          <w:p>
            <w:pPr>
              <w:pStyle w:val="Compact"/>
              <w:jc w:val="right"/>
            </w:pPr>
            <w:r>
              <w:t xml:space="preserve">$7,074</w:t>
            </w:r>
          </w:p>
        </w:tc>
        <w:tc>
          <w:tcPr/>
          <w:p>
            <w:pPr>
              <w:pStyle w:val="Compact"/>
              <w:jc w:val="right"/>
            </w:pPr>
            <w:r>
              <w:t xml:space="preserve">1.00</w:t>
            </w:r>
          </w:p>
        </w:tc>
        <w:tc>
          <w:tcPr/>
          <w:p>
            <w:pPr>
              <w:pStyle w:val="Compact"/>
              <w:jc w:val="right"/>
            </w:pPr>
            <w:r>
              <w:t xml:space="preserve">0.98</w:t>
            </w:r>
          </w:p>
        </w:tc>
        <w:tc>
          <w:tcPr/>
          <w:p>
            <w:pPr>
              <w:pStyle w:val="Compact"/>
              <w:jc w:val="right"/>
            </w:pPr>
            <w:r>
              <w:t xml:space="preserve">47%</w:t>
            </w:r>
          </w:p>
        </w:tc>
      </w:tr>
    </w:tbl>
    <w:p>
      <w:pPr>
        <w:pStyle w:val="BodyText"/>
      </w:pPr>
      <w:r>
        <w:rPr>
          <w:b/>
          <w:bCs/>
        </w:rPr>
        <w:t xml:space="preserve">Table 3.</w:t>
      </w:r>
      <w:r>
        <w:t xml:space="preserve"> </w:t>
      </w:r>
      <w:r>
        <w:t xml:space="preserve">Out-of-sample R² by feature set.</w:t>
      </w:r>
    </w:p>
    <w:p>
      <w:pPr>
        <w:pStyle w:val="BodyText"/>
      </w:pPr>
      <w:r>
        <w:rPr>
          <w:i/>
          <w:iCs/>
        </w:rPr>
        <w:t xml:space="preserve">F1 demographics; F2 adds year-1 CCSR condition flags; F3 adds year-1 use and spending; F4 adds income, insurance, perceived health and functional help.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r>
      <w:tr>
        <w:tc>
          <w:tcPr/>
          <w:p>
            <w:pPr>
              <w:pStyle w:val="Compact"/>
            </w:pPr>
            <w:r>
              <w:t xml:space="preserve">LightGBM (Tweedie)</w:t>
            </w:r>
          </w:p>
        </w:tc>
        <w:tc>
          <w:tcPr/>
          <w:p>
            <w:pPr>
              <w:pStyle w:val="Compact"/>
              <w:jc w:val="right"/>
            </w:pPr>
            <w:r>
              <w:t xml:space="preserve">0.039</w:t>
            </w:r>
          </w:p>
        </w:tc>
        <w:tc>
          <w:tcPr/>
          <w:p>
            <w:pPr>
              <w:pStyle w:val="Compact"/>
              <w:jc w:val="right"/>
            </w:pPr>
            <w:r>
              <w:t xml:space="preserve">0.102</w:t>
            </w:r>
          </w:p>
        </w:tc>
        <w:tc>
          <w:tcPr/>
          <w:p>
            <w:pPr>
              <w:pStyle w:val="Compact"/>
              <w:jc w:val="right"/>
            </w:pPr>
            <w:r>
              <w:t xml:space="preserve">0.195</w:t>
            </w:r>
          </w:p>
        </w:tc>
        <w:tc>
          <w:tcPr/>
          <w:p>
            <w:pPr>
              <w:pStyle w:val="Compact"/>
              <w:jc w:val="right"/>
            </w:pPr>
            <w:r>
              <w:t xml:space="preserve">0.195</w:t>
            </w:r>
          </w:p>
        </w:tc>
      </w:tr>
      <w:tr>
        <w:tc>
          <w:tcPr/>
          <w:p>
            <w:pPr>
              <w:pStyle w:val="Compact"/>
            </w:pPr>
            <w:r>
              <w:t xml:space="preserve">Tweedie GLM</w:t>
            </w:r>
          </w:p>
        </w:tc>
        <w:tc>
          <w:tcPr/>
          <w:p>
            <w:pPr>
              <w:pStyle w:val="Compact"/>
              <w:jc w:val="right"/>
            </w:pPr>
            <w:r>
              <w:t xml:space="preserve">0.039</w:t>
            </w:r>
          </w:p>
        </w:tc>
        <w:tc>
          <w:tcPr/>
          <w:p>
            <w:pPr>
              <w:pStyle w:val="Compact"/>
              <w:jc w:val="right"/>
            </w:pPr>
            <w:r>
              <w:t xml:space="preserve">0.013</w:t>
            </w:r>
          </w:p>
        </w:tc>
        <w:tc>
          <w:tcPr/>
          <w:p>
            <w:pPr>
              <w:pStyle w:val="Compact"/>
              <w:jc w:val="right"/>
            </w:pPr>
            <w:r>
              <w:t xml:space="preserve">0.135</w:t>
            </w:r>
          </w:p>
        </w:tc>
        <w:tc>
          <w:tcPr/>
          <w:p>
            <w:pPr>
              <w:pStyle w:val="Compact"/>
              <w:jc w:val="right"/>
            </w:pPr>
            <w:r>
              <w:t xml:space="preserve">0.132</w:t>
            </w:r>
          </w:p>
        </w:tc>
      </w:tr>
      <w:tr>
        <w:tc>
          <w:tcPr/>
          <w:p>
            <w:pPr>
              <w:pStyle w:val="Compact"/>
            </w:pPr>
            <w:r>
              <w:t xml:space="preserve">WLS</w:t>
            </w:r>
          </w:p>
        </w:tc>
        <w:tc>
          <w:tcPr/>
          <w:p>
            <w:pPr>
              <w:pStyle w:val="Compact"/>
              <w:jc w:val="right"/>
            </w:pPr>
            <w:r>
              <w:t xml:space="preserve">0.039</w:t>
            </w:r>
          </w:p>
        </w:tc>
        <w:tc>
          <w:tcPr/>
          <w:p>
            <w:pPr>
              <w:pStyle w:val="Compact"/>
              <w:jc w:val="right"/>
            </w:pPr>
            <w:r>
              <w:t xml:space="preserve">0.103</w:t>
            </w:r>
          </w:p>
        </w:tc>
        <w:tc>
          <w:tcPr/>
          <w:p>
            <w:pPr>
              <w:pStyle w:val="Compact"/>
              <w:jc w:val="right"/>
            </w:pPr>
            <w:r>
              <w:t xml:space="preserve">0.125</w:t>
            </w:r>
          </w:p>
        </w:tc>
        <w:tc>
          <w:tcPr/>
          <w:p>
            <w:pPr>
              <w:pStyle w:val="Compact"/>
              <w:jc w:val="right"/>
            </w:pPr>
            <w:r>
              <w:t xml:space="preserve">0.129</w:t>
            </w:r>
          </w:p>
        </w:tc>
      </w:tr>
    </w:tbl>
    <w:p>
      <w:pPr>
        <w:pStyle w:val="BodyText"/>
      </w:pPr>
      <w:r>
        <w:rPr>
          <w:b/>
          <w:bCs/>
        </w:rPr>
        <w:t xml:space="preserve">Table 4.</w:t>
      </w:r>
      <w:r>
        <w:t xml:space="preserve"> </w:t>
      </w:r>
      <w:r>
        <w:t xml:space="preserve">Net compensation by group: predicted minus observed spending, $ per person-year (95% interval).</w:t>
      </w:r>
    </w:p>
    <w:p>
      <w:pPr>
        <w:pStyle w:val="BodyText"/>
      </w:pPr>
      <w:r>
        <w:rPr>
          <w:i/>
          <w:iCs/>
        </w:rPr>
        <w:t xml:space="preserve">Negative values mean the model pays less for the group than the group costs. Race and ethnicity are used for evaluation only and never as model inputs.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WLS</w:t>
            </w:r>
          </w:p>
        </w:tc>
        <w:tc>
          <w:tcPr/>
          <w:p>
            <w:pPr>
              <w:pStyle w:val="Compact"/>
              <w:jc w:val="right"/>
            </w:pPr>
            <w:r>
              <w:t xml:space="preserve">Tweedie GLM</w:t>
            </w:r>
          </w:p>
        </w:tc>
        <w:tc>
          <w:tcPr/>
          <w:p>
            <w:pPr>
              <w:pStyle w:val="Compact"/>
              <w:jc w:val="right"/>
            </w:pPr>
            <w:r>
              <w:t xml:space="preserve">LightGBM (Tweedie)</w:t>
            </w:r>
          </w:p>
        </w:tc>
        <w:tc>
          <w:tcPr/>
          <w:p>
            <w:pPr>
              <w:pStyle w:val="Compact"/>
              <w:jc w:val="right"/>
            </w:pPr>
            <w:r>
              <w:t xml:space="preserve">CANN</w:t>
            </w:r>
          </w:p>
        </w:tc>
      </w:tr>
      <w:tr>
        <w:tc>
          <w:tcPr/>
          <w:p>
            <w:pPr>
              <w:pStyle w:val="Compact"/>
            </w:pPr>
            <w:r>
              <w:t xml:space="preserve">Age 65 and over</w:t>
            </w:r>
          </w:p>
        </w:tc>
        <w:tc>
          <w:tcPr/>
          <w:p>
            <w:pPr>
              <w:pStyle w:val="Compact"/>
              <w:jc w:val="right"/>
            </w:pPr>
            <w:r>
              <w:t xml:space="preserve">-$8 (-$624, $473)</w:t>
            </w:r>
          </w:p>
        </w:tc>
        <w:tc>
          <w:tcPr/>
          <w:p>
            <w:pPr>
              <w:pStyle w:val="Compact"/>
              <w:jc w:val="right"/>
            </w:pPr>
            <w:r>
              <w:t xml:space="preserve">$538 (-$133, $1,097)</w:t>
            </w:r>
          </w:p>
        </w:tc>
        <w:tc>
          <w:tcPr/>
          <w:p>
            <w:pPr>
              <w:pStyle w:val="Compact"/>
              <w:jc w:val="right"/>
            </w:pPr>
            <w:r>
              <w:t xml:space="preserve">-$357 (-$1,014, $97)</w:t>
            </w:r>
          </w:p>
        </w:tc>
        <w:tc>
          <w:tcPr/>
          <w:p>
            <w:pPr>
              <w:pStyle w:val="Compact"/>
              <w:jc w:val="right"/>
            </w:pPr>
            <w:r>
              <w:t xml:space="preserve">$627 (-$48, $1,189)</w:t>
            </w:r>
          </w:p>
        </w:tc>
      </w:tr>
      <w:tr>
        <w:tc>
          <w:tcPr/>
          <w:p>
            <w:pPr>
              <w:pStyle w:val="Compact"/>
            </w:pPr>
            <w:r>
              <w:t xml:space="preserve">Hispanic</w:t>
            </w:r>
          </w:p>
        </w:tc>
        <w:tc>
          <w:tcPr/>
          <w:p>
            <w:pPr>
              <w:pStyle w:val="Compact"/>
              <w:jc w:val="right"/>
            </w:pPr>
            <w:r>
              <w:t xml:space="preserve">-$207 (-$793, $308)</w:t>
            </w:r>
          </w:p>
        </w:tc>
        <w:tc>
          <w:tcPr/>
          <w:p>
            <w:pPr>
              <w:pStyle w:val="Compact"/>
              <w:jc w:val="right"/>
            </w:pPr>
            <w:r>
              <w:t xml:space="preserve">$66 (-$522, $597)</w:t>
            </w:r>
          </w:p>
        </w:tc>
        <w:tc>
          <w:tcPr/>
          <w:p>
            <w:pPr>
              <w:pStyle w:val="Compact"/>
              <w:jc w:val="right"/>
            </w:pPr>
            <w:r>
              <w:t xml:space="preserve">$124 (-$472, $679)</w:t>
            </w:r>
          </w:p>
        </w:tc>
        <w:tc>
          <w:tcPr/>
          <w:p>
            <w:pPr>
              <w:pStyle w:val="Compact"/>
              <w:jc w:val="right"/>
            </w:pPr>
            <w:r>
              <w:t xml:space="preserve">$51 (-$536, $582)</w:t>
            </w:r>
          </w:p>
        </w:tc>
      </w:tr>
      <w:tr>
        <w:tc>
          <w:tcPr/>
          <w:p>
            <w:pPr>
              <w:pStyle w:val="Compact"/>
            </w:pPr>
            <w:r>
              <w:t xml:space="preserve">Income below 200% FPL</w:t>
            </w:r>
          </w:p>
        </w:tc>
        <w:tc>
          <w:tcPr/>
          <w:p>
            <w:pPr>
              <w:pStyle w:val="Compact"/>
              <w:jc w:val="right"/>
            </w:pPr>
            <w:r>
              <w:t xml:space="preserve">-$37 (-$451, $288)</w:t>
            </w:r>
          </w:p>
        </w:tc>
        <w:tc>
          <w:tcPr/>
          <w:p>
            <w:pPr>
              <w:pStyle w:val="Compact"/>
              <w:jc w:val="right"/>
            </w:pPr>
            <w:r>
              <w:t xml:space="preserve">$187 (-$256, $525)</w:t>
            </w:r>
          </w:p>
        </w:tc>
        <w:tc>
          <w:tcPr/>
          <w:p>
            <w:pPr>
              <w:pStyle w:val="Compact"/>
              <w:jc w:val="right"/>
            </w:pPr>
            <w:r>
              <w:t xml:space="preserve">$83 (-$311, $404)</w:t>
            </w:r>
          </w:p>
        </w:tc>
        <w:tc>
          <w:tcPr/>
          <w:p>
            <w:pPr>
              <w:pStyle w:val="Compact"/>
              <w:jc w:val="right"/>
            </w:pPr>
            <w:r>
              <w:t xml:space="preserve">$201 (-$241, $538)</w:t>
            </w:r>
          </w:p>
        </w:tc>
      </w:tr>
      <w:tr>
        <w:tc>
          <w:tcPr/>
          <w:p>
            <w:pPr>
              <w:pStyle w:val="Compact"/>
            </w:pPr>
            <w:r>
              <w:t xml:space="preserve">Mental health condition</w:t>
            </w:r>
          </w:p>
        </w:tc>
        <w:tc>
          <w:tcPr/>
          <w:p>
            <w:pPr>
              <w:pStyle w:val="Compact"/>
              <w:jc w:val="right"/>
            </w:pPr>
            <w:r>
              <w:t xml:space="preserve">$199 (-$381, $743)</w:t>
            </w:r>
          </w:p>
        </w:tc>
        <w:tc>
          <w:tcPr/>
          <w:p>
            <w:pPr>
              <w:pStyle w:val="Compact"/>
              <w:jc w:val="right"/>
            </w:pPr>
            <w:r>
              <w:t xml:space="preserve">$605 ($32, $1,226)</w:t>
            </w:r>
          </w:p>
        </w:tc>
        <w:tc>
          <w:tcPr/>
          <w:p>
            <w:pPr>
              <w:pStyle w:val="Compact"/>
              <w:jc w:val="right"/>
            </w:pPr>
            <w:r>
              <w:t xml:space="preserve">$433 (-$91, $895)</w:t>
            </w:r>
          </w:p>
        </w:tc>
        <w:tc>
          <w:tcPr/>
          <w:p>
            <w:pPr>
              <w:pStyle w:val="Compact"/>
              <w:jc w:val="right"/>
            </w:pPr>
            <w:r>
              <w:t xml:space="preserve">$658 ($87, $1,275)</w:t>
            </w:r>
          </w:p>
        </w:tc>
      </w:tr>
      <w:tr>
        <w:tc>
          <w:tcPr/>
          <w:p>
            <w:pPr>
              <w:pStyle w:val="Compact"/>
            </w:pPr>
            <w:r>
              <w:t xml:space="preserve">Needs ADL or IADL help</w:t>
            </w:r>
          </w:p>
        </w:tc>
        <w:tc>
          <w:tcPr/>
          <w:p>
            <w:pPr>
              <w:pStyle w:val="Compact"/>
              <w:jc w:val="right"/>
            </w:pPr>
            <w:r>
              <w:t xml:space="preserve">-$7,794 (-$11,613, -$4,584)</w:t>
            </w:r>
          </w:p>
        </w:tc>
        <w:tc>
          <w:tcPr/>
          <w:p>
            <w:pPr>
              <w:pStyle w:val="Compact"/>
              <w:jc w:val="right"/>
            </w:pPr>
            <w:r>
              <w:t xml:space="preserve">-$4,949 (-$8,810, -$1,852)</w:t>
            </w:r>
          </w:p>
        </w:tc>
        <w:tc>
          <w:tcPr/>
          <w:p>
            <w:pPr>
              <w:pStyle w:val="Compact"/>
              <w:jc w:val="right"/>
            </w:pPr>
            <w:r>
              <w:t xml:space="preserve">-$5,670 (-$9,127, -$2,561)</w:t>
            </w:r>
          </w:p>
        </w:tc>
        <w:tc>
          <w:tcPr/>
          <w:p>
            <w:pPr>
              <w:pStyle w:val="Compact"/>
              <w:jc w:val="right"/>
            </w:pPr>
            <w:r>
              <w:t xml:space="preserve">-$4,770 (-$8,648, -$1,630)</w:t>
            </w:r>
          </w:p>
        </w:tc>
      </w:tr>
      <w:tr>
        <w:tc>
          <w:tcPr/>
          <w:p>
            <w:pPr>
              <w:pStyle w:val="Compact"/>
            </w:pPr>
            <w:r>
              <w:t xml:space="preserve">Non-Hispanic Asian</w:t>
            </w:r>
          </w:p>
        </w:tc>
        <w:tc>
          <w:tcPr/>
          <w:p>
            <w:pPr>
              <w:pStyle w:val="Compact"/>
              <w:jc w:val="right"/>
            </w:pPr>
            <w:r>
              <w:t xml:space="preserve">$105 (-$358, $573)</w:t>
            </w:r>
          </w:p>
        </w:tc>
        <w:tc>
          <w:tcPr/>
          <w:p>
            <w:pPr>
              <w:pStyle w:val="Compact"/>
              <w:jc w:val="right"/>
            </w:pPr>
            <w:r>
              <w:t xml:space="preserve">$300 (-$123, $706)</w:t>
            </w:r>
          </w:p>
        </w:tc>
        <w:tc>
          <w:tcPr/>
          <w:p>
            <w:pPr>
              <w:pStyle w:val="Compact"/>
              <w:jc w:val="right"/>
            </w:pPr>
            <w:r>
              <w:t xml:space="preserve">$189 (-$284, $613)</w:t>
            </w:r>
          </w:p>
        </w:tc>
        <w:tc>
          <w:tcPr/>
          <w:p>
            <w:pPr>
              <w:pStyle w:val="Compact"/>
              <w:jc w:val="right"/>
            </w:pPr>
            <w:r>
              <w:t xml:space="preserve">$282 (-$143, $686)</w:t>
            </w:r>
          </w:p>
        </w:tc>
      </w:tr>
      <w:tr>
        <w:tc>
          <w:tcPr/>
          <w:p>
            <w:pPr>
              <w:pStyle w:val="Compact"/>
            </w:pPr>
            <w:r>
              <w:t xml:space="preserve">Non-Hispanic Black</w:t>
            </w:r>
          </w:p>
        </w:tc>
        <w:tc>
          <w:tcPr/>
          <w:p>
            <w:pPr>
              <w:pStyle w:val="Compact"/>
              <w:jc w:val="right"/>
            </w:pPr>
            <w:r>
              <w:t xml:space="preserve">-$274 (-$760, $280)</w:t>
            </w:r>
          </w:p>
        </w:tc>
        <w:tc>
          <w:tcPr/>
          <w:p>
            <w:pPr>
              <w:pStyle w:val="Compact"/>
              <w:jc w:val="right"/>
            </w:pPr>
            <w:r>
              <w:t xml:space="preserve">-$68 (-$534, $486)</w:t>
            </w:r>
          </w:p>
        </w:tc>
        <w:tc>
          <w:tcPr/>
          <w:p>
            <w:pPr>
              <w:pStyle w:val="Compact"/>
              <w:jc w:val="right"/>
            </w:pPr>
            <w:r>
              <w:t xml:space="preserve">-$89 (-$550, $437)</w:t>
            </w:r>
          </w:p>
        </w:tc>
        <w:tc>
          <w:tcPr/>
          <w:p>
            <w:pPr>
              <w:pStyle w:val="Compact"/>
              <w:jc w:val="right"/>
            </w:pPr>
            <w:r>
              <w:t xml:space="preserve">-$72 (-$543, $489)</w:t>
            </w:r>
          </w:p>
        </w:tc>
      </w:tr>
      <w:tr>
        <w:tc>
          <w:tcPr/>
          <w:p>
            <w:pPr>
              <w:pStyle w:val="Compact"/>
            </w:pPr>
            <w:r>
              <w:t xml:space="preserve">Uninsured all year</w:t>
            </w:r>
          </w:p>
        </w:tc>
        <w:tc>
          <w:tcPr/>
          <w:p>
            <w:pPr>
              <w:pStyle w:val="Compact"/>
              <w:jc w:val="right"/>
            </w:pPr>
            <w:r>
              <w:t xml:space="preserve">$17 (-$413, $475)</w:t>
            </w:r>
          </w:p>
        </w:tc>
        <w:tc>
          <w:tcPr/>
          <w:p>
            <w:pPr>
              <w:pStyle w:val="Compact"/>
              <w:jc w:val="right"/>
            </w:pPr>
            <w:r>
              <w:t xml:space="preserve">$533 ($97, $979)</w:t>
            </w:r>
          </w:p>
        </w:tc>
        <w:tc>
          <w:tcPr/>
          <w:p>
            <w:pPr>
              <w:pStyle w:val="Compact"/>
              <w:jc w:val="right"/>
            </w:pPr>
            <w:r>
              <w:t xml:space="preserve">$657 ($215, $1,061)</w:t>
            </w:r>
          </w:p>
        </w:tc>
        <w:tc>
          <w:tcPr/>
          <w:p>
            <w:pPr>
              <w:pStyle w:val="Compact"/>
              <w:jc w:val="right"/>
            </w:pPr>
            <w:r>
              <w:t xml:space="preserve">$513 ($79, $959)</w:t>
            </w:r>
          </w:p>
        </w:tc>
      </w:tr>
    </w:tbl>
    <w:p>
      <w:pPr>
        <w:pStyle w:val="BodyText"/>
      </w:pPr>
      <w:r>
        <w:rPr>
          <w:b/>
          <w:bCs/>
        </w:rPr>
        <w:t xml:space="preserve">Table 5.</w:t>
      </w:r>
      <w:r>
        <w:t xml:space="preserve"> </w:t>
      </w:r>
      <w:r>
        <w:t xml:space="preserve">The accuracy-fairness frontier.</w:t>
      </w:r>
    </w:p>
    <w:p>
      <w:pPr>
        <w:pStyle w:val="BodyText"/>
      </w:pPr>
      <w:r>
        <w:rPr>
          <w:i/>
          <w:iCs/>
        </w:rPr>
        <w:t xml:space="preserve">Penalized and constrained estimators target the three groups marked in the text; the other groups show spillover. Stacked LightGBM enters a cross-fitted LightGBM score with the features into the fair regression. One repeat of the survey folds.</w:t>
      </w:r>
    </w:p>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Method</w:t>
            </w:r>
          </w:p>
        </w:tc>
        <w:tc>
          <w:tcPr/>
          <w:p>
            <w:pPr>
              <w:pStyle w:val="Compact"/>
              <w:jc w:val="right"/>
            </w:pPr>
            <w:r>
              <w:t xml:space="preserve">λ</w:t>
            </w:r>
          </w:p>
        </w:tc>
        <w:tc>
          <w:tcPr/>
          <w:p>
            <w:pPr>
              <w:pStyle w:val="Compact"/>
              <w:jc w:val="right"/>
            </w:pPr>
            <w:r>
              <w:t xml:space="preserve">R²</w:t>
            </w:r>
          </w:p>
        </w:tc>
        <w:tc>
          <w:tcPr/>
          <w:p>
            <w:pPr>
              <w:pStyle w:val="Compact"/>
              <w:jc w:val="right"/>
            </w:pPr>
            <w:r>
              <w:t xml:space="preserve">CPM</w:t>
            </w:r>
          </w:p>
        </w:tc>
        <w:tc>
          <w:tcPr/>
          <w:p>
            <w:pPr>
              <w:pStyle w:val="Compact"/>
              <w:jc w:val="right"/>
            </w:pPr>
            <w:r>
              <w:t xml:space="preserve">Max</w:t>
            </w:r>
          </w:p>
        </w:tc>
        <w:tc>
          <w:tcPr/>
          <w:p>
            <w:pPr>
              <w:pStyle w:val="Compact"/>
              <w:jc w:val="right"/>
            </w:pPr>
            <w:r>
              <w:t xml:space="preserve">NC</w:t>
            </w:r>
          </w:p>
        </w:tc>
        <w:tc>
          <w:tcPr/>
          <w:p>
            <w:pPr>
              <w:pStyle w:val="Compact"/>
              <w:jc w:val="right"/>
            </w:pPr>
            <w:r>
              <w:t xml:space="preserve">target</w:t>
            </w:r>
          </w:p>
        </w:tc>
        <w:tc>
          <w:tcPr/>
          <w:p>
            <w:pPr>
              <w:pStyle w:val="Compact"/>
              <w:jc w:val="right"/>
            </w:pPr>
            <w:r>
              <w:t xml:space="preserve">Income below 200% FPL</w:t>
            </w:r>
          </w:p>
        </w:tc>
        <w:tc>
          <w:tcPr/>
          <w:p>
            <w:pPr>
              <w:pStyle w:val="Compact"/>
              <w:jc w:val="right"/>
            </w:pPr>
            <w:r>
              <w:t xml:space="preserve">Hispanic</w:t>
            </w:r>
          </w:p>
        </w:tc>
        <w:tc>
          <w:tcPr/>
          <w:p>
            <w:pPr>
              <w:pStyle w:val="Compact"/>
              <w:jc w:val="right"/>
            </w:pPr>
            <w:r>
              <w:t xml:space="preserve">Non-Hispanic Black</w:t>
            </w:r>
          </w:p>
        </w:tc>
        <w:tc>
          <w:tcPr/>
          <w:p>
            <w:pPr>
              <w:pStyle w:val="Compact"/>
              <w:jc w:val="right"/>
            </w:pPr>
            <w:r>
              <w:t xml:space="preserve">Non-Hispanic Asian</w:t>
            </w:r>
          </w:p>
        </w:tc>
        <w:tc>
          <w:tcPr/>
          <w:p>
            <w:pPr>
              <w:pStyle w:val="Compact"/>
              <w:jc w:val="right"/>
            </w:pPr>
            <w:r>
              <w:t xml:space="preserve">Needs ADL or IADL help</w:t>
            </w:r>
          </w:p>
        </w:tc>
        <w:tc>
          <w:tcPr/>
          <w:p>
            <w:pPr>
              <w:pStyle w:val="Compact"/>
              <w:jc w:val="right"/>
            </w:pPr>
            <w:r>
              <w:t xml:space="preserve">Mental health condition</w:t>
            </w:r>
          </w:p>
        </w:tc>
      </w:tr>
      <w:tr>
        <w:tc>
          <w:tcPr/>
          <w:p>
            <w:pPr>
              <w:pStyle w:val="Compact"/>
            </w:pPr>
            <w:r>
              <w:t xml:space="preserve">Penalized WLS</w:t>
            </w:r>
          </w:p>
        </w:tc>
        <w:tc>
          <w:tcPr/>
          <w:p>
            <w:pPr>
              <w:pStyle w:val="Compact"/>
              <w:jc w:val="right"/>
            </w:pPr>
            <w:r>
              <w:t xml:space="preserve">0</w:t>
            </w:r>
          </w:p>
        </w:tc>
        <w:tc>
          <w:tcPr/>
          <w:p>
            <w:pPr>
              <w:pStyle w:val="Compact"/>
              <w:jc w:val="right"/>
            </w:pPr>
            <w:r>
              <w:t xml:space="preserve">0.124</w:t>
            </w:r>
          </w:p>
        </w:tc>
        <w:tc>
          <w:tcPr/>
          <w:p>
            <w:pPr>
              <w:pStyle w:val="Compact"/>
              <w:jc w:val="right"/>
            </w:pPr>
            <w:r>
              <w:t xml:space="preserve">0.149</w:t>
            </w:r>
          </w:p>
        </w:tc>
        <w:tc>
          <w:tcPr/>
          <w:p>
            <w:pPr>
              <w:pStyle w:val="Compact"/>
              <w:jc w:val="right"/>
            </w:pPr>
            <w:r>
              <w:t xml:space="preserve">$7,887</w:t>
            </w:r>
          </w:p>
        </w:tc>
        <w:tc>
          <w:tcPr/>
          <w:p>
            <w:pPr>
              <w:pStyle w:val="Compact"/>
              <w:jc w:val="right"/>
            </w:pPr>
            <w:r>
              <w:t xml:space="preserve">-$43</w:t>
            </w:r>
          </w:p>
        </w:tc>
        <w:tc>
          <w:tcPr/>
          <w:p>
            <w:pPr>
              <w:pStyle w:val="Compact"/>
              <w:jc w:val="right"/>
            </w:pPr>
            <w:r>
              <w:t xml:space="preserve">-$215</w:t>
            </w:r>
          </w:p>
        </w:tc>
        <w:tc>
          <w:tcPr/>
          <w:p>
            <w:pPr>
              <w:pStyle w:val="Compact"/>
              <w:jc w:val="right"/>
            </w:pPr>
            <w:r>
              <w:t xml:space="preserve">-$293</w:t>
            </w:r>
          </w:p>
        </w:tc>
        <w:tc>
          <w:tcPr/>
          <w:p>
            <w:pPr>
              <w:pStyle w:val="Compact"/>
              <w:jc w:val="right"/>
            </w:pPr>
            <w:r>
              <w:t xml:space="preserve">$97</w:t>
            </w:r>
          </w:p>
        </w:tc>
        <w:tc>
          <w:tcPr/>
          <w:p>
            <w:pPr>
              <w:pStyle w:val="Compact"/>
              <w:jc w:val="right"/>
            </w:pPr>
            <w:r>
              <w:t xml:space="preserve">-$7,887</w:t>
            </w:r>
          </w:p>
        </w:tc>
        <w:tc>
          <w:tcPr/>
          <w:p>
            <w:pPr>
              <w:pStyle w:val="Compact"/>
              <w:jc w:val="right"/>
            </w:pPr>
            <w:r>
              <w:t xml:space="preserve">$174</w:t>
            </w:r>
          </w:p>
        </w:tc>
        <w:tc>
          <w:tcPr/>
          <w:p>
            <w:pPr>
              <w:pStyle w:val="Compact"/>
              <w:jc w:val="right"/>
            </w:pPr>
            <w:r>
              <w:t xml:space="preserve">$15</w:t>
            </w:r>
          </w:p>
        </w:tc>
        <w:tc>
          <w:tcPr/>
          <w:p>
            <w:pPr>
              <w:pStyle w:val="Compact"/>
              <w:jc w:val="right"/>
            </w:pPr>
            <w:r>
              <w:t xml:space="preserve">$12</w:t>
            </w:r>
          </w:p>
        </w:tc>
      </w:tr>
      <w:tr>
        <w:tc>
          <w:tcPr/>
          <w:p>
            <w:pPr>
              <w:pStyle w:val="Compact"/>
            </w:pPr>
            <w:r>
              <w:t xml:space="preserve">Penalized WLS</w:t>
            </w:r>
          </w:p>
        </w:tc>
        <w:tc>
          <w:tcPr/>
          <w:p>
            <w:pPr>
              <w:pStyle w:val="Compact"/>
              <w:jc w:val="right"/>
            </w:pPr>
            <w:r>
              <w:t xml:space="preserve">0.1</w:t>
            </w:r>
          </w:p>
        </w:tc>
        <w:tc>
          <w:tcPr/>
          <w:p>
            <w:pPr>
              <w:pStyle w:val="Compact"/>
              <w:jc w:val="right"/>
            </w:pPr>
            <w:r>
              <w:t xml:space="preserve">0.120</w:t>
            </w:r>
          </w:p>
        </w:tc>
        <w:tc>
          <w:tcPr/>
          <w:p>
            <w:pPr>
              <w:pStyle w:val="Compact"/>
              <w:jc w:val="right"/>
            </w:pPr>
            <w:r>
              <w:t xml:space="preserve">0.118</w:t>
            </w:r>
          </w:p>
        </w:tc>
        <w:tc>
          <w:tcPr/>
          <w:p>
            <w:pPr>
              <w:pStyle w:val="Compact"/>
              <w:jc w:val="right"/>
            </w:pPr>
            <w:r>
              <w:t xml:space="preserve">$4,699</w:t>
            </w:r>
          </w:p>
        </w:tc>
        <w:tc>
          <w:tcPr/>
          <w:p>
            <w:pPr>
              <w:pStyle w:val="Compact"/>
              <w:jc w:val="right"/>
            </w:pPr>
            <w:r>
              <w:t xml:space="preserve">$585</w:t>
            </w:r>
          </w:p>
        </w:tc>
        <w:tc>
          <w:tcPr/>
          <w:p>
            <w:pPr>
              <w:pStyle w:val="Compact"/>
              <w:jc w:val="right"/>
            </w:pPr>
            <w:r>
              <w:t xml:space="preserve">-$29</w:t>
            </w:r>
          </w:p>
        </w:tc>
        <w:tc>
          <w:tcPr/>
          <w:p>
            <w:pPr>
              <w:pStyle w:val="Compact"/>
              <w:jc w:val="right"/>
            </w:pPr>
            <w:r>
              <w:t xml:space="preserve">$118</w:t>
            </w:r>
          </w:p>
        </w:tc>
        <w:tc>
          <w:tcPr/>
          <w:p>
            <w:pPr>
              <w:pStyle w:val="Compact"/>
              <w:jc w:val="right"/>
            </w:pPr>
            <w:r>
              <w:t xml:space="preserve">$290</w:t>
            </w:r>
          </w:p>
        </w:tc>
        <w:tc>
          <w:tcPr/>
          <w:p>
            <w:pPr>
              <w:pStyle w:val="Compact"/>
              <w:jc w:val="right"/>
            </w:pPr>
            <w:r>
              <w:t xml:space="preserve">-$4,699</w:t>
            </w:r>
          </w:p>
        </w:tc>
        <w:tc>
          <w:tcPr/>
          <w:p>
            <w:pPr>
              <w:pStyle w:val="Compact"/>
              <w:jc w:val="right"/>
            </w:pPr>
            <w:r>
              <w:t xml:space="preserve">$1,054</w:t>
            </w:r>
          </w:p>
        </w:tc>
        <w:tc>
          <w:tcPr/>
          <w:p>
            <w:pPr>
              <w:pStyle w:val="Compact"/>
              <w:jc w:val="right"/>
            </w:pPr>
            <w:r>
              <w:t xml:space="preserve">$1,653</w:t>
            </w:r>
          </w:p>
        </w:tc>
        <w:tc>
          <w:tcPr/>
          <w:p>
            <w:pPr>
              <w:pStyle w:val="Compact"/>
              <w:jc w:val="right"/>
            </w:pPr>
            <w:r>
              <w:t xml:space="preserve">$44</w:t>
            </w:r>
          </w:p>
        </w:tc>
      </w:tr>
      <w:tr>
        <w:tc>
          <w:tcPr/>
          <w:p>
            <w:pPr>
              <w:pStyle w:val="Compact"/>
            </w:pPr>
            <w:r>
              <w:t xml:space="preserve">Penalized WLS</w:t>
            </w:r>
          </w:p>
        </w:tc>
        <w:tc>
          <w:tcPr/>
          <w:p>
            <w:pPr>
              <w:pStyle w:val="Compact"/>
              <w:jc w:val="right"/>
            </w:pPr>
            <w:r>
              <w:t xml:space="preserve">0.3</w:t>
            </w:r>
          </w:p>
        </w:tc>
        <w:tc>
          <w:tcPr/>
          <w:p>
            <w:pPr>
              <w:pStyle w:val="Compact"/>
              <w:jc w:val="right"/>
            </w:pPr>
            <w:r>
              <w:t xml:space="preserve">0.114</w:t>
            </w:r>
          </w:p>
        </w:tc>
        <w:tc>
          <w:tcPr/>
          <w:p>
            <w:pPr>
              <w:pStyle w:val="Compact"/>
              <w:jc w:val="right"/>
            </w:pPr>
            <w:r>
              <w:t xml:space="preserve">0.102</w:t>
            </w:r>
          </w:p>
        </w:tc>
        <w:tc>
          <w:tcPr/>
          <w:p>
            <w:pPr>
              <w:pStyle w:val="Compact"/>
              <w:jc w:val="right"/>
            </w:pPr>
            <w:r>
              <w:t xml:space="preserve">$2,991</w:t>
            </w:r>
          </w:p>
        </w:tc>
        <w:tc>
          <w:tcPr/>
          <w:p>
            <w:pPr>
              <w:pStyle w:val="Compact"/>
              <w:jc w:val="right"/>
            </w:pPr>
            <w:r>
              <w:t xml:space="preserve">$701</w:t>
            </w:r>
          </w:p>
        </w:tc>
        <w:tc>
          <w:tcPr/>
          <w:p>
            <w:pPr>
              <w:pStyle w:val="Compact"/>
              <w:jc w:val="right"/>
            </w:pPr>
            <w:r>
              <w:t xml:space="preserve">-$158</w:t>
            </w:r>
          </w:p>
        </w:tc>
        <w:tc>
          <w:tcPr/>
          <w:p>
            <w:pPr>
              <w:pStyle w:val="Compact"/>
              <w:jc w:val="right"/>
            </w:pPr>
            <w:r>
              <w:t xml:space="preserve">$140</w:t>
            </w:r>
          </w:p>
        </w:tc>
        <w:tc>
          <w:tcPr/>
          <w:p>
            <w:pPr>
              <w:pStyle w:val="Compact"/>
              <w:jc w:val="right"/>
            </w:pPr>
            <w:r>
              <w:t xml:space="preserve">$216</w:t>
            </w:r>
          </w:p>
        </w:tc>
        <w:tc>
          <w:tcPr/>
          <w:p>
            <w:pPr>
              <w:pStyle w:val="Compact"/>
              <w:jc w:val="right"/>
            </w:pPr>
            <w:r>
              <w:t xml:space="preserve">-$2,991</w:t>
            </w:r>
          </w:p>
        </w:tc>
        <w:tc>
          <w:tcPr/>
          <w:p>
            <w:pPr>
              <w:pStyle w:val="Compact"/>
              <w:jc w:val="right"/>
            </w:pPr>
            <w:r>
              <w:t xml:space="preserve">$874</w:t>
            </w:r>
          </w:p>
        </w:tc>
        <w:tc>
          <w:tcPr/>
          <w:p>
            <w:pPr>
              <w:pStyle w:val="Compact"/>
              <w:jc w:val="right"/>
            </w:pPr>
            <w:r>
              <w:t xml:space="preserve">$2,516</w:t>
            </w:r>
          </w:p>
        </w:tc>
        <w:tc>
          <w:tcPr/>
          <w:p>
            <w:pPr>
              <w:pStyle w:val="Compact"/>
              <w:jc w:val="right"/>
            </w:pPr>
            <w:r>
              <w:t xml:space="preserve">-$166</w:t>
            </w:r>
          </w:p>
        </w:tc>
      </w:tr>
      <w:tr>
        <w:tc>
          <w:tcPr/>
          <w:p>
            <w:pPr>
              <w:pStyle w:val="Compact"/>
            </w:pPr>
            <w:r>
              <w:t xml:space="preserve">Penalized WLS</w:t>
            </w:r>
          </w:p>
        </w:tc>
        <w:tc>
          <w:tcPr/>
          <w:p>
            <w:pPr>
              <w:pStyle w:val="Compact"/>
              <w:jc w:val="right"/>
            </w:pPr>
            <w:r>
              <w:t xml:space="preserve">1</w:t>
            </w:r>
          </w:p>
        </w:tc>
        <w:tc>
          <w:tcPr/>
          <w:p>
            <w:pPr>
              <w:pStyle w:val="Compact"/>
              <w:jc w:val="right"/>
            </w:pPr>
            <w:r>
              <w:t xml:space="preserve">0.105</w:t>
            </w:r>
          </w:p>
        </w:tc>
        <w:tc>
          <w:tcPr/>
          <w:p>
            <w:pPr>
              <w:pStyle w:val="Compact"/>
              <w:jc w:val="right"/>
            </w:pPr>
            <w:r>
              <w:t xml:space="preserve">0.084</w:t>
            </w:r>
          </w:p>
        </w:tc>
        <w:tc>
          <w:tcPr/>
          <w:p>
            <w:pPr>
              <w:pStyle w:val="Compact"/>
              <w:jc w:val="right"/>
            </w:pPr>
            <w:r>
              <w:t xml:space="preserve">$1,703</w:t>
            </w:r>
          </w:p>
        </w:tc>
        <w:tc>
          <w:tcPr/>
          <w:p>
            <w:pPr>
              <w:pStyle w:val="Compact"/>
              <w:jc w:val="right"/>
            </w:pPr>
            <w:r>
              <w:t xml:space="preserve">$517</w:t>
            </w:r>
          </w:p>
        </w:tc>
        <w:tc>
          <w:tcPr/>
          <w:p>
            <w:pPr>
              <w:pStyle w:val="Compact"/>
              <w:jc w:val="right"/>
            </w:pPr>
            <w:r>
              <w:t xml:space="preserve">-$554</w:t>
            </w:r>
          </w:p>
        </w:tc>
        <w:tc>
          <w:tcPr/>
          <w:p>
            <w:pPr>
              <w:pStyle w:val="Compact"/>
              <w:jc w:val="right"/>
            </w:pPr>
            <w:r>
              <w:t xml:space="preserve">-$118</w:t>
            </w:r>
          </w:p>
        </w:tc>
        <w:tc>
          <w:tcPr/>
          <w:p>
            <w:pPr>
              <w:pStyle w:val="Compact"/>
              <w:jc w:val="right"/>
            </w:pPr>
            <w:r>
              <w:t xml:space="preserve">-$85</w:t>
            </w:r>
          </w:p>
        </w:tc>
        <w:tc>
          <w:tcPr/>
          <w:p>
            <w:pPr>
              <w:pStyle w:val="Compact"/>
              <w:jc w:val="right"/>
            </w:pPr>
            <w:r>
              <w:t xml:space="preserve">-$1,703</w:t>
            </w:r>
          </w:p>
        </w:tc>
        <w:tc>
          <w:tcPr/>
          <w:p>
            <w:pPr>
              <w:pStyle w:val="Compact"/>
              <w:jc w:val="right"/>
            </w:pPr>
            <w:r>
              <w:t xml:space="preserve">$428</w:t>
            </w:r>
          </w:p>
        </w:tc>
        <w:tc>
          <w:tcPr/>
          <w:p>
            <w:pPr>
              <w:pStyle w:val="Compact"/>
              <w:jc w:val="right"/>
            </w:pPr>
            <w:r>
              <w:t xml:space="preserve">$3,089</w:t>
            </w:r>
          </w:p>
        </w:tc>
        <w:tc>
          <w:tcPr/>
          <w:p>
            <w:pPr>
              <w:pStyle w:val="Compact"/>
              <w:jc w:val="right"/>
            </w:pPr>
            <w:r>
              <w:t xml:space="preserve">-$639</w:t>
            </w:r>
          </w:p>
        </w:tc>
      </w:tr>
      <w:tr>
        <w:tc>
          <w:tcPr/>
          <w:p>
            <w:pPr>
              <w:pStyle w:val="Compact"/>
            </w:pPr>
            <w:r>
              <w:t xml:space="preserve">Penalized WLS</w:t>
            </w:r>
          </w:p>
        </w:tc>
        <w:tc>
          <w:tcPr/>
          <w:p>
            <w:pPr>
              <w:pStyle w:val="Compact"/>
              <w:jc w:val="right"/>
            </w:pPr>
            <w:r>
              <w:t xml:space="preserve">3</w:t>
            </w:r>
          </w:p>
        </w:tc>
        <w:tc>
          <w:tcPr/>
          <w:p>
            <w:pPr>
              <w:pStyle w:val="Compact"/>
              <w:jc w:val="right"/>
            </w:pPr>
            <w:r>
              <w:t xml:space="preserve">0.100</w:t>
            </w:r>
          </w:p>
        </w:tc>
        <w:tc>
          <w:tcPr/>
          <w:p>
            <w:pPr>
              <w:pStyle w:val="Compact"/>
              <w:jc w:val="right"/>
            </w:pPr>
            <w:r>
              <w:t xml:space="preserve">0.071</w:t>
            </w:r>
          </w:p>
        </w:tc>
        <w:tc>
          <w:tcPr/>
          <w:p>
            <w:pPr>
              <w:pStyle w:val="Compact"/>
              <w:jc w:val="right"/>
            </w:pPr>
            <w:r>
              <w:t xml:space="preserve">$1,145</w:t>
            </w:r>
          </w:p>
        </w:tc>
        <w:tc>
          <w:tcPr/>
          <w:p>
            <w:pPr>
              <w:pStyle w:val="Compact"/>
              <w:jc w:val="right"/>
            </w:pPr>
            <w:r>
              <w:t xml:space="preserve">$268</w:t>
            </w:r>
          </w:p>
        </w:tc>
        <w:tc>
          <w:tcPr/>
          <w:p>
            <w:pPr>
              <w:pStyle w:val="Compact"/>
              <w:jc w:val="right"/>
            </w:pPr>
            <w:r>
              <w:t xml:space="preserve">-$916</w:t>
            </w:r>
          </w:p>
        </w:tc>
        <w:tc>
          <w:tcPr/>
          <w:p>
            <w:pPr>
              <w:pStyle w:val="Compact"/>
              <w:jc w:val="right"/>
            </w:pPr>
            <w:r>
              <w:t xml:space="preserve">-$410</w:t>
            </w:r>
          </w:p>
        </w:tc>
        <w:tc>
          <w:tcPr/>
          <w:p>
            <w:pPr>
              <w:pStyle w:val="Compact"/>
              <w:jc w:val="right"/>
            </w:pPr>
            <w:r>
              <w:t xml:space="preserve">-$376</w:t>
            </w:r>
          </w:p>
        </w:tc>
        <w:tc>
          <w:tcPr/>
          <w:p>
            <w:pPr>
              <w:pStyle w:val="Compact"/>
              <w:jc w:val="right"/>
            </w:pPr>
            <w:r>
              <w:t xml:space="preserve">-$1,145</w:t>
            </w:r>
          </w:p>
        </w:tc>
        <w:tc>
          <w:tcPr/>
          <w:p>
            <w:pPr>
              <w:pStyle w:val="Compact"/>
              <w:jc w:val="right"/>
            </w:pPr>
            <w:r>
              <w:t xml:space="preserve">$180</w:t>
            </w:r>
          </w:p>
        </w:tc>
        <w:tc>
          <w:tcPr/>
          <w:p>
            <w:pPr>
              <w:pStyle w:val="Compact"/>
              <w:jc w:val="right"/>
            </w:pPr>
            <w:r>
              <w:t xml:space="preserve">$3,272</w:t>
            </w:r>
          </w:p>
        </w:tc>
        <w:tc>
          <w:tcPr/>
          <w:p>
            <w:pPr>
              <w:pStyle w:val="Compact"/>
              <w:jc w:val="right"/>
            </w:pPr>
            <w:r>
              <w:t xml:space="preserve">-$1,051</w:t>
            </w:r>
          </w:p>
        </w:tc>
      </w:tr>
      <w:tr>
        <w:tc>
          <w:tcPr/>
          <w:p>
            <w:pPr>
              <w:pStyle w:val="Compact"/>
            </w:pPr>
            <w:r>
              <w:t xml:space="preserve">Penalized WLS</w:t>
            </w:r>
          </w:p>
        </w:tc>
        <w:tc>
          <w:tcPr/>
          <w:p>
            <w:pPr>
              <w:pStyle w:val="Compact"/>
              <w:jc w:val="right"/>
            </w:pPr>
            <w:r>
              <w:t xml:space="preserve">10</w:t>
            </w:r>
          </w:p>
        </w:tc>
        <w:tc>
          <w:tcPr/>
          <w:p>
            <w:pPr>
              <w:pStyle w:val="Compact"/>
              <w:jc w:val="right"/>
            </w:pPr>
            <w:r>
              <w:t xml:space="preserve">0.097</w:t>
            </w:r>
          </w:p>
        </w:tc>
        <w:tc>
          <w:tcPr/>
          <w:p>
            <w:pPr>
              <w:pStyle w:val="Compact"/>
              <w:jc w:val="right"/>
            </w:pPr>
            <w:r>
              <w:t xml:space="preserve">0.063</w:t>
            </w:r>
          </w:p>
        </w:tc>
        <w:tc>
          <w:tcPr/>
          <w:p>
            <w:pPr>
              <w:pStyle w:val="Compact"/>
              <w:jc w:val="right"/>
            </w:pPr>
            <w:r>
              <w:t xml:space="preserve">$912</w:t>
            </w:r>
          </w:p>
        </w:tc>
        <w:tc>
          <w:tcPr/>
          <w:p>
            <w:pPr>
              <w:pStyle w:val="Compact"/>
              <w:jc w:val="right"/>
            </w:pPr>
            <w:r>
              <w:t xml:space="preserve">$106</w:t>
            </w:r>
          </w:p>
        </w:tc>
        <w:tc>
          <w:tcPr/>
          <w:p>
            <w:pPr>
              <w:pStyle w:val="Compact"/>
              <w:jc w:val="right"/>
            </w:pPr>
            <w:r>
              <w:t xml:space="preserve">-$1,132</w:t>
            </w:r>
          </w:p>
        </w:tc>
        <w:tc>
          <w:tcPr/>
          <w:p>
            <w:pPr>
              <w:pStyle w:val="Compact"/>
              <w:jc w:val="right"/>
            </w:pPr>
            <w:r>
              <w:t xml:space="preserve">-$594</w:t>
            </w:r>
          </w:p>
        </w:tc>
        <w:tc>
          <w:tcPr/>
          <w:p>
            <w:pPr>
              <w:pStyle w:val="Compact"/>
              <w:jc w:val="right"/>
            </w:pPr>
            <w:r>
              <w:t xml:space="preserve">-$552</w:t>
            </w:r>
          </w:p>
        </w:tc>
        <w:tc>
          <w:tcPr/>
          <w:p>
            <w:pPr>
              <w:pStyle w:val="Compact"/>
              <w:jc w:val="right"/>
            </w:pPr>
            <w:r>
              <w:t xml:space="preserve">-$912</w:t>
            </w:r>
          </w:p>
        </w:tc>
        <w:tc>
          <w:tcPr/>
          <w:p>
            <w:pPr>
              <w:pStyle w:val="Compact"/>
              <w:jc w:val="right"/>
            </w:pPr>
            <w:r>
              <w:t xml:space="preserve">$74</w:t>
            </w:r>
          </w:p>
        </w:tc>
        <w:tc>
          <w:tcPr/>
          <w:p>
            <w:pPr>
              <w:pStyle w:val="Compact"/>
              <w:jc w:val="right"/>
            </w:pPr>
            <w:r>
              <w:t xml:space="preserve">$3,325</w:t>
            </w:r>
          </w:p>
        </w:tc>
        <w:tc>
          <w:tcPr/>
          <w:p>
            <w:pPr>
              <w:pStyle w:val="Compact"/>
              <w:jc w:val="right"/>
            </w:pPr>
            <w:r>
              <w:t xml:space="preserve">-$1,293</w:t>
            </w:r>
          </w:p>
        </w:tc>
      </w:tr>
      <w:tr>
        <w:tc>
          <w:tcPr/>
          <w:p>
            <w:pPr>
              <w:pStyle w:val="Compact"/>
            </w:pPr>
            <w:r>
              <w:t xml:space="preserve">Penalized WLS</w:t>
            </w:r>
          </w:p>
        </w:tc>
        <w:tc>
          <w:tcPr/>
          <w:p>
            <w:pPr>
              <w:pStyle w:val="Compact"/>
              <w:jc w:val="right"/>
            </w:pPr>
            <w:r>
              <w:t xml:space="preserve">30</w:t>
            </w:r>
          </w:p>
        </w:tc>
        <w:tc>
          <w:tcPr/>
          <w:p>
            <w:pPr>
              <w:pStyle w:val="Compact"/>
              <w:jc w:val="right"/>
            </w:pPr>
            <w:r>
              <w:t xml:space="preserve">0.096</w:t>
            </w:r>
          </w:p>
        </w:tc>
        <w:tc>
          <w:tcPr/>
          <w:p>
            <w:pPr>
              <w:pStyle w:val="Compact"/>
              <w:jc w:val="right"/>
            </w:pPr>
            <w:r>
              <w:t xml:space="preserve">0.060</w:t>
            </w:r>
          </w:p>
        </w:tc>
        <w:tc>
          <w:tcPr/>
          <w:p>
            <w:pPr>
              <w:pStyle w:val="Compact"/>
              <w:jc w:val="right"/>
            </w:pPr>
            <w:r>
              <w:t xml:space="preserve">$841</w:t>
            </w:r>
          </w:p>
        </w:tc>
        <w:tc>
          <w:tcPr/>
          <w:p>
            <w:pPr>
              <w:pStyle w:val="Compact"/>
              <w:jc w:val="right"/>
            </w:pPr>
            <w:r>
              <w:t xml:space="preserve">$47</w:t>
            </w:r>
          </w:p>
        </w:tc>
        <w:tc>
          <w:tcPr/>
          <w:p>
            <w:pPr>
              <w:pStyle w:val="Compact"/>
              <w:jc w:val="right"/>
            </w:pPr>
            <w:r>
              <w:t xml:space="preserve">-$1,209</w:t>
            </w:r>
          </w:p>
        </w:tc>
        <w:tc>
          <w:tcPr/>
          <w:p>
            <w:pPr>
              <w:pStyle w:val="Compact"/>
              <w:jc w:val="right"/>
            </w:pPr>
            <w:r>
              <w:t xml:space="preserve">-$660</w:t>
            </w:r>
          </w:p>
        </w:tc>
        <w:tc>
          <w:tcPr/>
          <w:p>
            <w:pPr>
              <w:pStyle w:val="Compact"/>
              <w:jc w:val="right"/>
            </w:pPr>
            <w:r>
              <w:t xml:space="preserve">-$615</w:t>
            </w:r>
          </w:p>
        </w:tc>
        <w:tc>
          <w:tcPr/>
          <w:p>
            <w:pPr>
              <w:pStyle w:val="Compact"/>
              <w:jc w:val="right"/>
            </w:pPr>
            <w:r>
              <w:t xml:space="preserve">-$841</w:t>
            </w:r>
          </w:p>
        </w:tc>
        <w:tc>
          <w:tcPr/>
          <w:p>
            <w:pPr>
              <w:pStyle w:val="Compact"/>
              <w:jc w:val="right"/>
            </w:pPr>
            <w:r>
              <w:t xml:space="preserve">$42</w:t>
            </w:r>
          </w:p>
        </w:tc>
        <w:tc>
          <w:tcPr/>
          <w:p>
            <w:pPr>
              <w:pStyle w:val="Compact"/>
              <w:jc w:val="right"/>
            </w:pPr>
            <w:r>
              <w:t xml:space="preserve">$3,337</w:t>
            </w:r>
          </w:p>
        </w:tc>
        <w:tc>
          <w:tcPr/>
          <w:p>
            <w:pPr>
              <w:pStyle w:val="Compact"/>
              <w:jc w:val="right"/>
            </w:pPr>
            <w:r>
              <w:t xml:space="preserve">-$1,379</w:t>
            </w:r>
          </w:p>
        </w:tc>
      </w:tr>
      <w:tr>
        <w:tc>
          <w:tcPr/>
          <w:p>
            <w:pPr>
              <w:pStyle w:val="Compact"/>
            </w:pPr>
            <w:r>
              <w:t xml:space="preserve">Penalized WLS</w:t>
            </w:r>
          </w:p>
        </w:tc>
        <w:tc>
          <w:tcPr/>
          <w:p>
            <w:pPr>
              <w:pStyle w:val="Compact"/>
              <w:jc w:val="right"/>
            </w:pPr>
            <w:r>
              <w:t xml:space="preserve">100</w:t>
            </w:r>
          </w:p>
        </w:tc>
        <w:tc>
          <w:tcPr/>
          <w:p>
            <w:pPr>
              <w:pStyle w:val="Compact"/>
              <w:jc w:val="right"/>
            </w:pPr>
            <w:r>
              <w:t xml:space="preserve">0.096</w:t>
            </w:r>
          </w:p>
        </w:tc>
        <w:tc>
          <w:tcPr/>
          <w:p>
            <w:pPr>
              <w:pStyle w:val="Compact"/>
              <w:jc w:val="right"/>
            </w:pPr>
            <w:r>
              <w:t xml:space="preserve">0.059</w:t>
            </w:r>
          </w:p>
        </w:tc>
        <w:tc>
          <w:tcPr/>
          <w:p>
            <w:pPr>
              <w:pStyle w:val="Compact"/>
              <w:jc w:val="right"/>
            </w:pPr>
            <w:r>
              <w:t xml:space="preserve">$816</w:t>
            </w:r>
          </w:p>
        </w:tc>
        <w:tc>
          <w:tcPr/>
          <w:p>
            <w:pPr>
              <w:pStyle w:val="Compact"/>
              <w:jc w:val="right"/>
            </w:pPr>
            <w:r>
              <w:t xml:space="preserve">$25</w:t>
            </w:r>
          </w:p>
        </w:tc>
        <w:tc>
          <w:tcPr/>
          <w:p>
            <w:pPr>
              <w:pStyle w:val="Compact"/>
              <w:jc w:val="right"/>
            </w:pPr>
            <w:r>
              <w:t xml:space="preserve">-$1,238</w:t>
            </w:r>
          </w:p>
        </w:tc>
        <w:tc>
          <w:tcPr/>
          <w:p>
            <w:pPr>
              <w:pStyle w:val="Compact"/>
              <w:jc w:val="right"/>
            </w:pPr>
            <w:r>
              <w:t xml:space="preserve">-$685</w:t>
            </w:r>
          </w:p>
        </w:tc>
        <w:tc>
          <w:tcPr/>
          <w:p>
            <w:pPr>
              <w:pStyle w:val="Compact"/>
              <w:jc w:val="right"/>
            </w:pPr>
            <w:r>
              <w:t xml:space="preserve">-$638</w:t>
            </w:r>
          </w:p>
        </w:tc>
        <w:tc>
          <w:tcPr/>
          <w:p>
            <w:pPr>
              <w:pStyle w:val="Compact"/>
              <w:jc w:val="right"/>
            </w:pPr>
            <w:r>
              <w:t xml:space="preserve">-$816</w:t>
            </w:r>
          </w:p>
        </w:tc>
        <w:tc>
          <w:tcPr/>
          <w:p>
            <w:pPr>
              <w:pStyle w:val="Compact"/>
              <w:jc w:val="right"/>
            </w:pPr>
            <w:r>
              <w:t xml:space="preserve">$30</w:t>
            </w:r>
          </w:p>
        </w:tc>
        <w:tc>
          <w:tcPr/>
          <w:p>
            <w:pPr>
              <w:pStyle w:val="Compact"/>
              <w:jc w:val="right"/>
            </w:pPr>
            <w:r>
              <w:t xml:space="preserve">$3,341</w:t>
            </w:r>
          </w:p>
        </w:tc>
        <w:tc>
          <w:tcPr/>
          <w:p>
            <w:pPr>
              <w:pStyle w:val="Compact"/>
              <w:jc w:val="right"/>
            </w:pPr>
            <w:r>
              <w:t xml:space="preserve">-$1,411</w:t>
            </w:r>
          </w:p>
        </w:tc>
      </w:tr>
      <w:tr>
        <w:tc>
          <w:tcPr/>
          <w:p>
            <w:pPr>
              <w:pStyle w:val="Compact"/>
            </w:pPr>
            <w:r>
              <w:t xml:space="preserve">Constrained WLS</w:t>
            </w:r>
          </w:p>
        </w:tc>
        <w:tc>
          <w:tcPr/>
          <w:p>
            <w:pPr>
              <w:pStyle w:val="Compact"/>
              <w:jc w:val="right"/>
            </w:pPr>
            <w:r>
              <w:t xml:space="preserve">constrained</w:t>
            </w:r>
          </w:p>
        </w:tc>
        <w:tc>
          <w:tcPr/>
          <w:p>
            <w:pPr>
              <w:pStyle w:val="Compact"/>
              <w:jc w:val="right"/>
            </w:pPr>
            <w:r>
              <w:t xml:space="preserve">0.096</w:t>
            </w:r>
          </w:p>
        </w:tc>
        <w:tc>
          <w:tcPr/>
          <w:p>
            <w:pPr>
              <w:pStyle w:val="Compact"/>
              <w:jc w:val="right"/>
            </w:pPr>
            <w:r>
              <w:t xml:space="preserve">0.058</w:t>
            </w:r>
          </w:p>
        </w:tc>
        <w:tc>
          <w:tcPr/>
          <w:p>
            <w:pPr>
              <w:pStyle w:val="Compact"/>
              <w:jc w:val="right"/>
            </w:pPr>
            <w:r>
              <w:t xml:space="preserve">$805</w:t>
            </w:r>
          </w:p>
        </w:tc>
        <w:tc>
          <w:tcPr/>
          <w:p>
            <w:pPr>
              <w:pStyle w:val="Compact"/>
              <w:jc w:val="right"/>
            </w:pPr>
            <w:r>
              <w:t xml:space="preserve">$15</w:t>
            </w:r>
          </w:p>
        </w:tc>
        <w:tc>
          <w:tcPr/>
          <w:p>
            <w:pPr>
              <w:pStyle w:val="Compact"/>
              <w:jc w:val="right"/>
            </w:pPr>
            <w:r>
              <w:t xml:space="preserve">-$1,250</w:t>
            </w:r>
          </w:p>
        </w:tc>
        <w:tc>
          <w:tcPr/>
          <w:p>
            <w:pPr>
              <w:pStyle w:val="Compact"/>
              <w:jc w:val="right"/>
            </w:pPr>
            <w:r>
              <w:t xml:space="preserve">-$696</w:t>
            </w:r>
          </w:p>
        </w:tc>
        <w:tc>
          <w:tcPr/>
          <w:p>
            <w:pPr>
              <w:pStyle w:val="Compact"/>
              <w:jc w:val="right"/>
            </w:pPr>
            <w:r>
              <w:t xml:space="preserve">-$649</w:t>
            </w:r>
          </w:p>
        </w:tc>
        <w:tc>
          <w:tcPr/>
          <w:p>
            <w:pPr>
              <w:pStyle w:val="Compact"/>
              <w:jc w:val="right"/>
            </w:pPr>
            <w:r>
              <w:t xml:space="preserve">-$805</w:t>
            </w:r>
          </w:p>
        </w:tc>
        <w:tc>
          <w:tcPr/>
          <w:p>
            <w:pPr>
              <w:pStyle w:val="Compact"/>
              <w:jc w:val="right"/>
            </w:pPr>
            <w:r>
              <w:t xml:space="preserve">$25</w:t>
            </w:r>
          </w:p>
        </w:tc>
        <w:tc>
          <w:tcPr/>
          <w:p>
            <w:pPr>
              <w:pStyle w:val="Compact"/>
              <w:jc w:val="right"/>
            </w:pPr>
            <w:r>
              <w:t xml:space="preserve">$3,342</w:t>
            </w:r>
          </w:p>
        </w:tc>
        <w:tc>
          <w:tcPr/>
          <w:p>
            <w:pPr>
              <w:pStyle w:val="Compact"/>
              <w:jc w:val="right"/>
            </w:pPr>
            <w:r>
              <w:t xml:space="preserve">-$1,425</w:t>
            </w:r>
          </w:p>
        </w:tc>
      </w:tr>
      <w:tr>
        <w:tc>
          <w:tcPr/>
          <w:p>
            <w:pPr>
              <w:pStyle w:val="Compact"/>
            </w:pPr>
            <w:r>
              <w:t xml:space="preserve">Stacked LightGBM</w:t>
            </w:r>
          </w:p>
        </w:tc>
        <w:tc>
          <w:tcPr/>
          <w:p>
            <w:pPr>
              <w:pStyle w:val="Compact"/>
              <w:jc w:val="right"/>
            </w:pPr>
            <w:r>
              <w:t xml:space="preserve">0</w:t>
            </w:r>
          </w:p>
        </w:tc>
        <w:tc>
          <w:tcPr/>
          <w:p>
            <w:pPr>
              <w:pStyle w:val="Compact"/>
              <w:jc w:val="right"/>
            </w:pPr>
            <w:r>
              <w:t xml:space="preserve">0.190</w:t>
            </w:r>
          </w:p>
        </w:tc>
        <w:tc>
          <w:tcPr/>
          <w:p>
            <w:pPr>
              <w:pStyle w:val="Compact"/>
              <w:jc w:val="right"/>
            </w:pPr>
            <w:r>
              <w:t xml:space="preserve">0.258</w:t>
            </w:r>
          </w:p>
        </w:tc>
        <w:tc>
          <w:tcPr/>
          <w:p>
            <w:pPr>
              <w:pStyle w:val="Compact"/>
              <w:jc w:val="right"/>
            </w:pPr>
            <w:r>
              <w:t xml:space="preserve">$5,142</w:t>
            </w:r>
          </w:p>
        </w:tc>
        <w:tc>
          <w:tcPr/>
          <w:p>
            <w:pPr>
              <w:pStyle w:val="Compact"/>
              <w:jc w:val="right"/>
            </w:pPr>
            <w:r>
              <w:t xml:space="preserve">$71</w:t>
            </w:r>
          </w:p>
        </w:tc>
        <w:tc>
          <w:tcPr/>
          <w:p>
            <w:pPr>
              <w:pStyle w:val="Compact"/>
              <w:jc w:val="right"/>
            </w:pPr>
            <w:r>
              <w:t xml:space="preserve">$60</w:t>
            </w:r>
          </w:p>
        </w:tc>
        <w:tc>
          <w:tcPr/>
          <w:p>
            <w:pPr>
              <w:pStyle w:val="Compact"/>
              <w:jc w:val="right"/>
            </w:pPr>
            <w:r>
              <w:t xml:space="preserve">-$91</w:t>
            </w:r>
          </w:p>
        </w:tc>
        <w:tc>
          <w:tcPr/>
          <w:p>
            <w:pPr>
              <w:pStyle w:val="Compact"/>
              <w:jc w:val="right"/>
            </w:pPr>
            <w:r>
              <w:t xml:space="preserve">$201</w:t>
            </w:r>
          </w:p>
        </w:tc>
        <w:tc>
          <w:tcPr/>
          <w:p>
            <w:pPr>
              <w:pStyle w:val="Compact"/>
              <w:jc w:val="right"/>
            </w:pPr>
            <w:r>
              <w:t xml:space="preserve">-$5,142</w:t>
            </w:r>
          </w:p>
        </w:tc>
        <w:tc>
          <w:tcPr/>
          <w:p>
            <w:pPr>
              <w:pStyle w:val="Compact"/>
              <w:jc w:val="right"/>
            </w:pPr>
            <w:r>
              <w:t xml:space="preserve">$165</w:t>
            </w:r>
          </w:p>
        </w:tc>
        <w:tc>
          <w:tcPr/>
          <w:p>
            <w:pPr>
              <w:pStyle w:val="Compact"/>
              <w:jc w:val="right"/>
            </w:pPr>
            <w:r>
              <w:t xml:space="preserve">-$18</w:t>
            </w:r>
          </w:p>
        </w:tc>
        <w:tc>
          <w:tcPr/>
          <w:p>
            <w:pPr>
              <w:pStyle w:val="Compact"/>
              <w:jc w:val="right"/>
            </w:pPr>
            <w:r>
              <w:t xml:space="preserve">$441</w:t>
            </w:r>
          </w:p>
        </w:tc>
      </w:tr>
      <w:tr>
        <w:tc>
          <w:tcPr/>
          <w:p>
            <w:pPr>
              <w:pStyle w:val="Compact"/>
            </w:pPr>
            <w:r>
              <w:t xml:space="preserve">Stacked LightGBM</w:t>
            </w:r>
          </w:p>
        </w:tc>
        <w:tc>
          <w:tcPr/>
          <w:p>
            <w:pPr>
              <w:pStyle w:val="Compact"/>
              <w:jc w:val="right"/>
            </w:pPr>
            <w:r>
              <w:t xml:space="preserve">0.1</w:t>
            </w:r>
          </w:p>
        </w:tc>
        <w:tc>
          <w:tcPr/>
          <w:p>
            <w:pPr>
              <w:pStyle w:val="Compact"/>
              <w:jc w:val="right"/>
            </w:pPr>
            <w:r>
              <w:t xml:space="preserve">0.188</w:t>
            </w:r>
          </w:p>
        </w:tc>
        <w:tc>
          <w:tcPr/>
          <w:p>
            <w:pPr>
              <w:pStyle w:val="Compact"/>
              <w:jc w:val="right"/>
            </w:pPr>
            <w:r>
              <w:t xml:space="preserve">0.244</w:t>
            </w:r>
          </w:p>
        </w:tc>
        <w:tc>
          <w:tcPr/>
          <w:p>
            <w:pPr>
              <w:pStyle w:val="Compact"/>
              <w:jc w:val="right"/>
            </w:pPr>
            <w:r>
              <w:t xml:space="preserve">$2,925</w:t>
            </w:r>
          </w:p>
        </w:tc>
        <w:tc>
          <w:tcPr/>
          <w:p>
            <w:pPr>
              <w:pStyle w:val="Compact"/>
              <w:jc w:val="right"/>
            </w:pPr>
            <w:r>
              <w:t xml:space="preserve">$486</w:t>
            </w:r>
          </w:p>
        </w:tc>
        <w:tc>
          <w:tcPr/>
          <w:p>
            <w:pPr>
              <w:pStyle w:val="Compact"/>
              <w:jc w:val="right"/>
            </w:pPr>
            <w:r>
              <w:t xml:space="preserve">$186</w:t>
            </w:r>
          </w:p>
        </w:tc>
        <w:tc>
          <w:tcPr/>
          <w:p>
            <w:pPr>
              <w:pStyle w:val="Compact"/>
              <w:jc w:val="right"/>
            </w:pPr>
            <w:r>
              <w:t xml:space="preserve">$182</w:t>
            </w:r>
          </w:p>
        </w:tc>
        <w:tc>
          <w:tcPr/>
          <w:p>
            <w:pPr>
              <w:pStyle w:val="Compact"/>
              <w:jc w:val="right"/>
            </w:pPr>
            <w:r>
              <w:t xml:space="preserve">$329</w:t>
            </w:r>
          </w:p>
        </w:tc>
        <w:tc>
          <w:tcPr/>
          <w:p>
            <w:pPr>
              <w:pStyle w:val="Compact"/>
              <w:jc w:val="right"/>
            </w:pPr>
            <w:r>
              <w:t xml:space="preserve">-$2,925</w:t>
            </w:r>
          </w:p>
        </w:tc>
        <w:tc>
          <w:tcPr/>
          <w:p>
            <w:pPr>
              <w:pStyle w:val="Compact"/>
              <w:jc w:val="right"/>
            </w:pPr>
            <w:r>
              <w:t xml:space="preserve">$769</w:t>
            </w:r>
          </w:p>
        </w:tc>
        <w:tc>
          <w:tcPr/>
          <w:p>
            <w:pPr>
              <w:pStyle w:val="Compact"/>
              <w:jc w:val="right"/>
            </w:pPr>
            <w:r>
              <w:t xml:space="preserve">$1,080</w:t>
            </w:r>
          </w:p>
        </w:tc>
        <w:tc>
          <w:tcPr/>
          <w:p>
            <w:pPr>
              <w:pStyle w:val="Compact"/>
              <w:jc w:val="right"/>
            </w:pPr>
            <w:r>
              <w:t xml:space="preserve">$467</w:t>
            </w:r>
          </w:p>
        </w:tc>
      </w:tr>
      <w:tr>
        <w:tc>
          <w:tcPr/>
          <w:p>
            <w:pPr>
              <w:pStyle w:val="Compact"/>
            </w:pPr>
            <w:r>
              <w:t xml:space="preserve">Stacked LightGBM</w:t>
            </w:r>
          </w:p>
        </w:tc>
        <w:tc>
          <w:tcPr/>
          <w:p>
            <w:pPr>
              <w:pStyle w:val="Compact"/>
              <w:jc w:val="right"/>
            </w:pPr>
            <w:r>
              <w:t xml:space="preserve">0.3</w:t>
            </w:r>
          </w:p>
        </w:tc>
        <w:tc>
          <w:tcPr/>
          <w:p>
            <w:pPr>
              <w:pStyle w:val="Compact"/>
              <w:jc w:val="right"/>
            </w:pPr>
            <w:r>
              <w:t xml:space="preserve">0.186</w:t>
            </w:r>
          </w:p>
        </w:tc>
        <w:tc>
          <w:tcPr/>
          <w:p>
            <w:pPr>
              <w:pStyle w:val="Compact"/>
              <w:jc w:val="right"/>
            </w:pPr>
            <w:r>
              <w:t xml:space="preserve">0.240</w:t>
            </w:r>
          </w:p>
        </w:tc>
        <w:tc>
          <w:tcPr/>
          <w:p>
            <w:pPr>
              <w:pStyle w:val="Compact"/>
              <w:jc w:val="right"/>
            </w:pPr>
            <w:r>
              <w:t xml:space="preserve">$1,736</w:t>
            </w:r>
          </w:p>
        </w:tc>
        <w:tc>
          <w:tcPr/>
          <w:p>
            <w:pPr>
              <w:pStyle w:val="Compact"/>
              <w:jc w:val="right"/>
            </w:pPr>
            <w:r>
              <w:t xml:space="preserve">$549</w:t>
            </w:r>
          </w:p>
        </w:tc>
        <w:tc>
          <w:tcPr/>
          <w:p>
            <w:pPr>
              <w:pStyle w:val="Compact"/>
              <w:jc w:val="right"/>
            </w:pPr>
            <w:r>
              <w:t xml:space="preserve">$91</w:t>
            </w:r>
          </w:p>
        </w:tc>
        <w:tc>
          <w:tcPr/>
          <w:p>
            <w:pPr>
              <w:pStyle w:val="Compact"/>
              <w:jc w:val="right"/>
            </w:pPr>
            <w:r>
              <w:t xml:space="preserve">$184</w:t>
            </w:r>
          </w:p>
        </w:tc>
        <w:tc>
          <w:tcPr/>
          <w:p>
            <w:pPr>
              <w:pStyle w:val="Compact"/>
              <w:jc w:val="right"/>
            </w:pPr>
            <w:r>
              <w:t xml:space="preserve">$270</w:t>
            </w:r>
          </w:p>
        </w:tc>
        <w:tc>
          <w:tcPr/>
          <w:p>
            <w:pPr>
              <w:pStyle w:val="Compact"/>
              <w:jc w:val="right"/>
            </w:pPr>
            <w:r>
              <w:t xml:space="preserve">-$1,736</w:t>
            </w:r>
          </w:p>
        </w:tc>
        <w:tc>
          <w:tcPr/>
          <w:p>
            <w:pPr>
              <w:pStyle w:val="Compact"/>
              <w:jc w:val="right"/>
            </w:pPr>
            <w:r>
              <w:t xml:space="preserve">$654</w:t>
            </w:r>
          </w:p>
        </w:tc>
        <w:tc>
          <w:tcPr/>
          <w:p>
            <w:pPr>
              <w:pStyle w:val="Compact"/>
              <w:jc w:val="right"/>
            </w:pPr>
            <w:r>
              <w:t xml:space="preserve">$1,648</w:t>
            </w:r>
          </w:p>
        </w:tc>
        <w:tc>
          <w:tcPr/>
          <w:p>
            <w:pPr>
              <w:pStyle w:val="Compact"/>
              <w:jc w:val="right"/>
            </w:pPr>
            <w:r>
              <w:t xml:space="preserve">$320</w:t>
            </w:r>
          </w:p>
        </w:tc>
      </w:tr>
      <w:tr>
        <w:tc>
          <w:tcPr/>
          <w:p>
            <w:pPr>
              <w:pStyle w:val="Compact"/>
            </w:pPr>
            <w:r>
              <w:t xml:space="preserve">Stacked LightGBM</w:t>
            </w:r>
          </w:p>
        </w:tc>
        <w:tc>
          <w:tcPr/>
          <w:p>
            <w:pPr>
              <w:pStyle w:val="Compact"/>
              <w:jc w:val="right"/>
            </w:pPr>
            <w:r>
              <w:t xml:space="preserve">1</w:t>
            </w:r>
          </w:p>
        </w:tc>
        <w:tc>
          <w:tcPr/>
          <w:p>
            <w:pPr>
              <w:pStyle w:val="Compact"/>
              <w:jc w:val="right"/>
            </w:pPr>
            <w:r>
              <w:t xml:space="preserve">0.182</w:t>
            </w:r>
          </w:p>
        </w:tc>
        <w:tc>
          <w:tcPr/>
          <w:p>
            <w:pPr>
              <w:pStyle w:val="Compact"/>
              <w:jc w:val="right"/>
            </w:pPr>
            <w:r>
              <w:t xml:space="preserve">0.236</w:t>
            </w:r>
          </w:p>
        </w:tc>
        <w:tc>
          <w:tcPr/>
          <w:p>
            <w:pPr>
              <w:pStyle w:val="Compact"/>
              <w:jc w:val="right"/>
            </w:pPr>
            <w:r>
              <w:t xml:space="preserve">$838</w:t>
            </w:r>
          </w:p>
        </w:tc>
        <w:tc>
          <w:tcPr/>
          <w:p>
            <w:pPr>
              <w:pStyle w:val="Compact"/>
              <w:jc w:val="right"/>
            </w:pPr>
            <w:r>
              <w:t xml:space="preserve">$400</w:t>
            </w:r>
          </w:p>
        </w:tc>
        <w:tc>
          <w:tcPr/>
          <w:p>
            <w:pPr>
              <w:pStyle w:val="Compact"/>
              <w:jc w:val="right"/>
            </w:pPr>
            <w:r>
              <w:t xml:space="preserve">-$193</w:t>
            </w:r>
          </w:p>
        </w:tc>
        <w:tc>
          <w:tcPr/>
          <w:p>
            <w:pPr>
              <w:pStyle w:val="Compact"/>
              <w:jc w:val="right"/>
            </w:pPr>
            <w:r>
              <w:t xml:space="preserve">-$13</w:t>
            </w:r>
          </w:p>
        </w:tc>
        <w:tc>
          <w:tcPr/>
          <w:p>
            <w:pPr>
              <w:pStyle w:val="Compact"/>
              <w:jc w:val="right"/>
            </w:pPr>
            <w:r>
              <w:t xml:space="preserve">$50</w:t>
            </w:r>
          </w:p>
        </w:tc>
        <w:tc>
          <w:tcPr/>
          <w:p>
            <w:pPr>
              <w:pStyle w:val="Compact"/>
              <w:jc w:val="right"/>
            </w:pPr>
            <w:r>
              <w:t xml:space="preserve">-$838</w:t>
            </w:r>
          </w:p>
        </w:tc>
        <w:tc>
          <w:tcPr/>
          <w:p>
            <w:pPr>
              <w:pStyle w:val="Compact"/>
              <w:jc w:val="right"/>
            </w:pPr>
            <w:r>
              <w:t xml:space="preserve">$361</w:t>
            </w:r>
          </w:p>
        </w:tc>
        <w:tc>
          <w:tcPr/>
          <w:p>
            <w:pPr>
              <w:pStyle w:val="Compact"/>
              <w:jc w:val="right"/>
            </w:pPr>
            <w:r>
              <w:t xml:space="preserve">$2,013</w:t>
            </w:r>
          </w:p>
        </w:tc>
        <w:tc>
          <w:tcPr/>
          <w:p>
            <w:pPr>
              <w:pStyle w:val="Compact"/>
              <w:jc w:val="right"/>
            </w:pPr>
            <w:r>
              <w:t xml:space="preserve">-$17</w:t>
            </w:r>
          </w:p>
        </w:tc>
      </w:tr>
      <w:tr>
        <w:tc>
          <w:tcPr/>
          <w:p>
            <w:pPr>
              <w:pStyle w:val="Compact"/>
            </w:pPr>
            <w:r>
              <w:t xml:space="preserve">Stacked LightGBM</w:t>
            </w:r>
          </w:p>
        </w:tc>
        <w:tc>
          <w:tcPr/>
          <w:p>
            <w:pPr>
              <w:pStyle w:val="Compact"/>
              <w:jc w:val="right"/>
            </w:pPr>
            <w:r>
              <w:t xml:space="preserve">3</w:t>
            </w:r>
          </w:p>
        </w:tc>
        <w:tc>
          <w:tcPr/>
          <w:p>
            <w:pPr>
              <w:pStyle w:val="Compact"/>
              <w:jc w:val="right"/>
            </w:pPr>
            <w:r>
              <w:t xml:space="preserve">0.180</w:t>
            </w:r>
          </w:p>
        </w:tc>
        <w:tc>
          <w:tcPr/>
          <w:p>
            <w:pPr>
              <w:pStyle w:val="Compact"/>
              <w:jc w:val="right"/>
            </w:pPr>
            <w:r>
              <w:t xml:space="preserve">0.231</w:t>
            </w:r>
          </w:p>
        </w:tc>
        <w:tc>
          <w:tcPr/>
          <w:p>
            <w:pPr>
              <w:pStyle w:val="Compact"/>
              <w:jc w:val="right"/>
            </w:pPr>
            <w:r>
              <w:t xml:space="preserve">$448</w:t>
            </w:r>
          </w:p>
        </w:tc>
        <w:tc>
          <w:tcPr/>
          <w:p>
            <w:pPr>
              <w:pStyle w:val="Compact"/>
              <w:jc w:val="right"/>
            </w:pPr>
            <w:r>
              <w:t xml:space="preserve">$213</w:t>
            </w:r>
          </w:p>
        </w:tc>
        <w:tc>
          <w:tcPr/>
          <w:p>
            <w:pPr>
              <w:pStyle w:val="Compact"/>
              <w:jc w:val="right"/>
            </w:pPr>
            <w:r>
              <w:t xml:space="preserve">-$454</w:t>
            </w:r>
          </w:p>
        </w:tc>
        <w:tc>
          <w:tcPr/>
          <w:p>
            <w:pPr>
              <w:pStyle w:val="Compact"/>
              <w:jc w:val="right"/>
            </w:pPr>
            <w:r>
              <w:t xml:space="preserve">-$229</w:t>
            </w:r>
          </w:p>
        </w:tc>
        <w:tc>
          <w:tcPr/>
          <w:p>
            <w:pPr>
              <w:pStyle w:val="Compact"/>
              <w:jc w:val="right"/>
            </w:pPr>
            <w:r>
              <w:t xml:space="preserve">-$162</w:t>
            </w:r>
          </w:p>
        </w:tc>
        <w:tc>
          <w:tcPr/>
          <w:p>
            <w:pPr>
              <w:pStyle w:val="Compact"/>
              <w:jc w:val="right"/>
            </w:pPr>
            <w:r>
              <w:t xml:space="preserve">-$448</w:t>
            </w:r>
          </w:p>
        </w:tc>
        <w:tc>
          <w:tcPr/>
          <w:p>
            <w:pPr>
              <w:pStyle w:val="Compact"/>
              <w:jc w:val="right"/>
            </w:pPr>
            <w:r>
              <w:t xml:space="preserve">$198</w:t>
            </w:r>
          </w:p>
        </w:tc>
        <w:tc>
          <w:tcPr/>
          <w:p>
            <w:pPr>
              <w:pStyle w:val="Compact"/>
              <w:jc w:val="right"/>
            </w:pPr>
            <w:r>
              <w:t xml:space="preserve">$2,121</w:t>
            </w:r>
          </w:p>
        </w:tc>
        <w:tc>
          <w:tcPr/>
          <w:p>
            <w:pPr>
              <w:pStyle w:val="Compact"/>
              <w:jc w:val="right"/>
            </w:pPr>
            <w:r>
              <w:t xml:space="preserve">-$312</w:t>
            </w:r>
          </w:p>
        </w:tc>
      </w:tr>
      <w:tr>
        <w:tc>
          <w:tcPr/>
          <w:p>
            <w:pPr>
              <w:pStyle w:val="Compact"/>
            </w:pPr>
            <w:r>
              <w:t xml:space="preserve">Stacked LightGBM</w:t>
            </w:r>
          </w:p>
        </w:tc>
        <w:tc>
          <w:tcPr/>
          <w:p>
            <w:pPr>
              <w:pStyle w:val="Compact"/>
              <w:jc w:val="right"/>
            </w:pPr>
            <w:r>
              <w:t xml:space="preserve">10</w:t>
            </w:r>
          </w:p>
        </w:tc>
        <w:tc>
          <w:tcPr/>
          <w:p>
            <w:pPr>
              <w:pStyle w:val="Compact"/>
              <w:jc w:val="right"/>
            </w:pPr>
            <w:r>
              <w:t xml:space="preserve">0.179</w:t>
            </w:r>
          </w:p>
        </w:tc>
        <w:tc>
          <w:tcPr/>
          <w:p>
            <w:pPr>
              <w:pStyle w:val="Compact"/>
              <w:jc w:val="right"/>
            </w:pPr>
            <w:r>
              <w:t xml:space="preserve">0.228</w:t>
            </w:r>
          </w:p>
        </w:tc>
        <w:tc>
          <w:tcPr/>
          <w:p>
            <w:pPr>
              <w:pStyle w:val="Compact"/>
              <w:jc w:val="right"/>
            </w:pPr>
            <w:r>
              <w:t xml:space="preserve">$286</w:t>
            </w:r>
          </w:p>
        </w:tc>
        <w:tc>
          <w:tcPr/>
          <w:p>
            <w:pPr>
              <w:pStyle w:val="Compact"/>
              <w:jc w:val="right"/>
            </w:pPr>
            <w:r>
              <w:t xml:space="preserve">$94</w:t>
            </w:r>
          </w:p>
        </w:tc>
        <w:tc>
          <w:tcPr/>
          <w:p>
            <w:pPr>
              <w:pStyle w:val="Compact"/>
              <w:jc w:val="right"/>
            </w:pPr>
            <w:r>
              <w:t xml:space="preserve">-$609</w:t>
            </w:r>
          </w:p>
        </w:tc>
        <w:tc>
          <w:tcPr/>
          <w:p>
            <w:pPr>
              <w:pStyle w:val="Compact"/>
              <w:jc w:val="right"/>
            </w:pPr>
            <w:r>
              <w:t xml:space="preserve">-$364</w:t>
            </w:r>
          </w:p>
        </w:tc>
        <w:tc>
          <w:tcPr/>
          <w:p>
            <w:pPr>
              <w:pStyle w:val="Compact"/>
              <w:jc w:val="right"/>
            </w:pPr>
            <w:r>
              <w:t xml:space="preserve">-$290</w:t>
            </w:r>
          </w:p>
        </w:tc>
        <w:tc>
          <w:tcPr/>
          <w:p>
            <w:pPr>
              <w:pStyle w:val="Compact"/>
              <w:jc w:val="right"/>
            </w:pPr>
            <w:r>
              <w:t xml:space="preserve">-$286</w:t>
            </w:r>
          </w:p>
        </w:tc>
        <w:tc>
          <w:tcPr/>
          <w:p>
            <w:pPr>
              <w:pStyle w:val="Compact"/>
              <w:jc w:val="right"/>
            </w:pPr>
            <w:r>
              <w:t xml:space="preserve">$130</w:t>
            </w:r>
          </w:p>
        </w:tc>
        <w:tc>
          <w:tcPr/>
          <w:p>
            <w:pPr>
              <w:pStyle w:val="Compact"/>
              <w:jc w:val="right"/>
            </w:pPr>
            <w:r>
              <w:t xml:space="preserve">$2,148</w:t>
            </w:r>
          </w:p>
        </w:tc>
        <w:tc>
          <w:tcPr/>
          <w:p>
            <w:pPr>
              <w:pStyle w:val="Compact"/>
              <w:jc w:val="right"/>
            </w:pPr>
            <w:r>
              <w:t xml:space="preserve">-$486</w:t>
            </w:r>
          </w:p>
        </w:tc>
      </w:tr>
      <w:tr>
        <w:tc>
          <w:tcPr/>
          <w:p>
            <w:pPr>
              <w:pStyle w:val="Compact"/>
            </w:pPr>
            <w:r>
              <w:t xml:space="preserve">Stacked LightGBM</w:t>
            </w:r>
          </w:p>
        </w:tc>
        <w:tc>
          <w:tcPr/>
          <w:p>
            <w:pPr>
              <w:pStyle w:val="Compact"/>
              <w:jc w:val="right"/>
            </w:pPr>
            <w:r>
              <w:t xml:space="preserve">30</w:t>
            </w:r>
          </w:p>
        </w:tc>
        <w:tc>
          <w:tcPr/>
          <w:p>
            <w:pPr>
              <w:pStyle w:val="Compact"/>
              <w:jc w:val="right"/>
            </w:pPr>
            <w:r>
              <w:t xml:space="preserve">0.178</w:t>
            </w:r>
          </w:p>
        </w:tc>
        <w:tc>
          <w:tcPr/>
          <w:p>
            <w:pPr>
              <w:pStyle w:val="Compact"/>
              <w:jc w:val="right"/>
            </w:pPr>
            <w:r>
              <w:t xml:space="preserve">0.227</w:t>
            </w:r>
          </w:p>
        </w:tc>
        <w:tc>
          <w:tcPr/>
          <w:p>
            <w:pPr>
              <w:pStyle w:val="Compact"/>
              <w:jc w:val="right"/>
            </w:pPr>
            <w:r>
              <w:t xml:space="preserve">$236</w:t>
            </w:r>
          </w:p>
        </w:tc>
        <w:tc>
          <w:tcPr/>
          <w:p>
            <w:pPr>
              <w:pStyle w:val="Compact"/>
              <w:jc w:val="right"/>
            </w:pPr>
            <w:r>
              <w:t xml:space="preserve">$50</w:t>
            </w:r>
          </w:p>
        </w:tc>
        <w:tc>
          <w:tcPr/>
          <w:p>
            <w:pPr>
              <w:pStyle w:val="Compact"/>
              <w:jc w:val="right"/>
            </w:pPr>
            <w:r>
              <w:t xml:space="preserve">-$664</w:t>
            </w:r>
          </w:p>
        </w:tc>
        <w:tc>
          <w:tcPr/>
          <w:p>
            <w:pPr>
              <w:pStyle w:val="Compact"/>
              <w:jc w:val="right"/>
            </w:pPr>
            <w:r>
              <w:t xml:space="preserve">-$413</w:t>
            </w:r>
          </w:p>
        </w:tc>
        <w:tc>
          <w:tcPr/>
          <w:p>
            <w:pPr>
              <w:pStyle w:val="Compact"/>
              <w:jc w:val="right"/>
            </w:pPr>
            <w:r>
              <w:t xml:space="preserve">-$335</w:t>
            </w:r>
          </w:p>
        </w:tc>
        <w:tc>
          <w:tcPr/>
          <w:p>
            <w:pPr>
              <w:pStyle w:val="Compact"/>
              <w:jc w:val="right"/>
            </w:pPr>
            <w:r>
              <w:t xml:space="preserve">-$236</w:t>
            </w:r>
          </w:p>
        </w:tc>
        <w:tc>
          <w:tcPr/>
          <w:p>
            <w:pPr>
              <w:pStyle w:val="Compact"/>
              <w:jc w:val="right"/>
            </w:pPr>
            <w:r>
              <w:t xml:space="preserve">$109</w:t>
            </w:r>
          </w:p>
        </w:tc>
        <w:tc>
          <w:tcPr/>
          <w:p>
            <w:pPr>
              <w:pStyle w:val="Compact"/>
              <w:jc w:val="right"/>
            </w:pPr>
            <w:r>
              <w:t xml:space="preserve">$2,154</w:t>
            </w:r>
          </w:p>
        </w:tc>
        <w:tc>
          <w:tcPr/>
          <w:p>
            <w:pPr>
              <w:pStyle w:val="Compact"/>
              <w:jc w:val="right"/>
            </w:pPr>
            <w:r>
              <w:t xml:space="preserve">-$547</w:t>
            </w:r>
          </w:p>
        </w:tc>
      </w:tr>
      <w:tr>
        <w:tc>
          <w:tcPr/>
          <w:p>
            <w:pPr>
              <w:pStyle w:val="Compact"/>
            </w:pPr>
            <w:r>
              <w:t xml:space="preserve">Stacked LightGBM</w:t>
            </w:r>
          </w:p>
        </w:tc>
        <w:tc>
          <w:tcPr/>
          <w:p>
            <w:pPr>
              <w:pStyle w:val="Compact"/>
              <w:jc w:val="right"/>
            </w:pPr>
            <w:r>
              <w:t xml:space="preserve">100</w:t>
            </w:r>
          </w:p>
        </w:tc>
        <w:tc>
          <w:tcPr/>
          <w:p>
            <w:pPr>
              <w:pStyle w:val="Compact"/>
              <w:jc w:val="right"/>
            </w:pPr>
            <w:r>
              <w:t xml:space="preserve">0.178</w:t>
            </w:r>
          </w:p>
        </w:tc>
        <w:tc>
          <w:tcPr/>
          <w:p>
            <w:pPr>
              <w:pStyle w:val="Compact"/>
              <w:jc w:val="right"/>
            </w:pPr>
            <w:r>
              <w:t xml:space="preserve">0.227</w:t>
            </w:r>
          </w:p>
        </w:tc>
        <w:tc>
          <w:tcPr/>
          <w:p>
            <w:pPr>
              <w:pStyle w:val="Compact"/>
              <w:jc w:val="right"/>
            </w:pPr>
            <w:r>
              <w:t xml:space="preserve">$218</w:t>
            </w:r>
          </w:p>
        </w:tc>
        <w:tc>
          <w:tcPr/>
          <w:p>
            <w:pPr>
              <w:pStyle w:val="Compact"/>
              <w:jc w:val="right"/>
            </w:pPr>
            <w:r>
              <w:t xml:space="preserve">$34</w:t>
            </w:r>
          </w:p>
        </w:tc>
        <w:tc>
          <w:tcPr/>
          <w:p>
            <w:pPr>
              <w:pStyle w:val="Compact"/>
              <w:jc w:val="right"/>
            </w:pPr>
            <w:r>
              <w:t xml:space="preserve">-$685</w:t>
            </w:r>
          </w:p>
        </w:tc>
        <w:tc>
          <w:tcPr/>
          <w:p>
            <w:pPr>
              <w:pStyle w:val="Compact"/>
              <w:jc w:val="right"/>
            </w:pPr>
            <w:r>
              <w:t xml:space="preserve">-$431</w:t>
            </w:r>
          </w:p>
        </w:tc>
        <w:tc>
          <w:tcPr/>
          <w:p>
            <w:pPr>
              <w:pStyle w:val="Compact"/>
              <w:jc w:val="right"/>
            </w:pPr>
            <w:r>
              <w:t xml:space="preserve">-$353</w:t>
            </w:r>
          </w:p>
        </w:tc>
        <w:tc>
          <w:tcPr/>
          <w:p>
            <w:pPr>
              <w:pStyle w:val="Compact"/>
              <w:jc w:val="right"/>
            </w:pPr>
            <w:r>
              <w:t xml:space="preserve">-$218</w:t>
            </w:r>
          </w:p>
        </w:tc>
        <w:tc>
          <w:tcPr/>
          <w:p>
            <w:pPr>
              <w:pStyle w:val="Compact"/>
              <w:jc w:val="right"/>
            </w:pPr>
            <w:r>
              <w:t xml:space="preserve">$101</w:t>
            </w:r>
          </w:p>
        </w:tc>
        <w:tc>
          <w:tcPr/>
          <w:p>
            <w:pPr>
              <w:pStyle w:val="Compact"/>
              <w:jc w:val="right"/>
            </w:pPr>
            <w:r>
              <w:t xml:space="preserve">$2,155</w:t>
            </w:r>
          </w:p>
        </w:tc>
        <w:tc>
          <w:tcPr/>
          <w:p>
            <w:pPr>
              <w:pStyle w:val="Compact"/>
              <w:jc w:val="right"/>
            </w:pPr>
            <w:r>
              <w:t xml:space="preserve">-$570</w:t>
            </w:r>
          </w:p>
        </w:tc>
      </w:tr>
      <w:tr>
        <w:tc>
          <w:tcPr/>
          <w:p>
            <w:pPr>
              <w:pStyle w:val="Compact"/>
            </w:pPr>
            <w:r>
              <w:t xml:space="preserve">Stacked LightGBM, constrained</w:t>
            </w:r>
          </w:p>
        </w:tc>
        <w:tc>
          <w:tcPr/>
          <w:p>
            <w:pPr>
              <w:pStyle w:val="Compact"/>
              <w:jc w:val="right"/>
            </w:pPr>
            <w:r>
              <w:t xml:space="preserve">constrained</w:t>
            </w:r>
          </w:p>
        </w:tc>
        <w:tc>
          <w:tcPr/>
          <w:p>
            <w:pPr>
              <w:pStyle w:val="Compact"/>
              <w:jc w:val="right"/>
            </w:pPr>
            <w:r>
              <w:t xml:space="preserve">0.178</w:t>
            </w:r>
          </w:p>
        </w:tc>
        <w:tc>
          <w:tcPr/>
          <w:p>
            <w:pPr>
              <w:pStyle w:val="Compact"/>
              <w:jc w:val="right"/>
            </w:pPr>
            <w:r>
              <w:t xml:space="preserve">0.226</w:t>
            </w:r>
          </w:p>
        </w:tc>
        <w:tc>
          <w:tcPr/>
          <w:p>
            <w:pPr>
              <w:pStyle w:val="Compact"/>
              <w:jc w:val="right"/>
            </w:pPr>
            <w:r>
              <w:t xml:space="preserve">$210</w:t>
            </w:r>
          </w:p>
        </w:tc>
        <w:tc>
          <w:tcPr/>
          <w:p>
            <w:pPr>
              <w:pStyle w:val="Compact"/>
              <w:jc w:val="right"/>
            </w:pPr>
            <w:r>
              <w:t xml:space="preserve">$27</w:t>
            </w:r>
          </w:p>
        </w:tc>
        <w:tc>
          <w:tcPr/>
          <w:p>
            <w:pPr>
              <w:pStyle w:val="Compact"/>
              <w:jc w:val="right"/>
            </w:pPr>
            <w:r>
              <w:t xml:space="preserve">-$694</w:t>
            </w:r>
          </w:p>
        </w:tc>
        <w:tc>
          <w:tcPr/>
          <w:p>
            <w:pPr>
              <w:pStyle w:val="Compact"/>
              <w:jc w:val="right"/>
            </w:pPr>
            <w:r>
              <w:t xml:space="preserve">-$439</w:t>
            </w:r>
          </w:p>
        </w:tc>
        <w:tc>
          <w:tcPr/>
          <w:p>
            <w:pPr>
              <w:pStyle w:val="Compact"/>
              <w:jc w:val="right"/>
            </w:pPr>
            <w:r>
              <w:t xml:space="preserve">-$360</w:t>
            </w:r>
          </w:p>
        </w:tc>
        <w:tc>
          <w:tcPr/>
          <w:p>
            <w:pPr>
              <w:pStyle w:val="Compact"/>
              <w:jc w:val="right"/>
            </w:pPr>
            <w:r>
              <w:t xml:space="preserve">-$210</w:t>
            </w:r>
          </w:p>
        </w:tc>
        <w:tc>
          <w:tcPr/>
          <w:p>
            <w:pPr>
              <w:pStyle w:val="Compact"/>
              <w:jc w:val="right"/>
            </w:pPr>
            <w:r>
              <w:t xml:space="preserve">$98</w:t>
            </w:r>
          </w:p>
        </w:tc>
        <w:tc>
          <w:tcPr/>
          <w:p>
            <w:pPr>
              <w:pStyle w:val="Compact"/>
              <w:jc w:val="right"/>
            </w:pPr>
            <w:r>
              <w:t xml:space="preserve">$2,156</w:t>
            </w:r>
          </w:p>
        </w:tc>
        <w:tc>
          <w:tcPr/>
          <w:p>
            <w:pPr>
              <w:pStyle w:val="Compact"/>
              <w:jc w:val="right"/>
            </w:pPr>
            <w:r>
              <w:t xml:space="preserve">-$580</w:t>
            </w:r>
          </w:p>
        </w:tc>
      </w:tr>
      <w:tr>
        <w:tc>
          <w:tcPr/>
          <w:p>
            <w:pPr>
              <w:pStyle w:val="Compact"/>
            </w:pPr>
            <w:r>
              <w:t xml:space="preserve">LightGBM, decile recalibration</w:t>
            </w:r>
          </w:p>
        </w:tc>
        <w:tc>
          <w:tcPr/>
          <w:p>
            <w:pPr>
              <w:pStyle w:val="Compact"/>
              <w:jc w:val="right"/>
            </w:pPr>
            <w:r>
              <w:t xml:space="preserve">0</w:t>
            </w:r>
          </w:p>
        </w:tc>
        <w:tc>
          <w:tcPr/>
          <w:p>
            <w:pPr>
              <w:pStyle w:val="Compact"/>
              <w:jc w:val="right"/>
            </w:pPr>
            <w:r>
              <w:t xml:space="preserve">0.194</w:t>
            </w:r>
          </w:p>
        </w:tc>
        <w:tc>
          <w:tcPr/>
          <w:p>
            <w:pPr>
              <w:pStyle w:val="Compact"/>
              <w:jc w:val="right"/>
            </w:pPr>
            <w:r>
              <w:t xml:space="preserve">0.275</w:t>
            </w:r>
          </w:p>
        </w:tc>
        <w:tc>
          <w:tcPr/>
          <w:p>
            <w:pPr>
              <w:pStyle w:val="Compact"/>
              <w:jc w:val="right"/>
            </w:pPr>
            <w:r>
              <w:t xml:space="preserve">$5,647</w:t>
            </w:r>
          </w:p>
        </w:tc>
        <w:tc>
          <w:tcPr/>
          <w:p>
            <w:pPr>
              <w:pStyle w:val="Compact"/>
              <w:jc w:val="right"/>
            </w:pPr>
            <w:r>
              <w:t xml:space="preserve">$110</w:t>
            </w:r>
          </w:p>
        </w:tc>
        <w:tc>
          <w:tcPr/>
          <w:p>
            <w:pPr>
              <w:pStyle w:val="Compact"/>
              <w:jc w:val="right"/>
            </w:pPr>
            <w:r>
              <w:t xml:space="preserve">$162</w:t>
            </w:r>
          </w:p>
        </w:tc>
        <w:tc>
          <w:tcPr/>
          <w:p>
            <w:pPr>
              <w:pStyle w:val="Compact"/>
              <w:jc w:val="right"/>
            </w:pPr>
            <w:r>
              <w:t xml:space="preserve">-$42</w:t>
            </w:r>
          </w:p>
        </w:tc>
        <w:tc>
          <w:tcPr/>
          <w:p>
            <w:pPr>
              <w:pStyle w:val="Compact"/>
              <w:jc w:val="right"/>
            </w:pPr>
            <w:r>
              <w:t xml:space="preserve">$191</w:t>
            </w:r>
          </w:p>
        </w:tc>
        <w:tc>
          <w:tcPr/>
          <w:p>
            <w:pPr>
              <w:pStyle w:val="Compact"/>
              <w:jc w:val="right"/>
            </w:pPr>
            <w:r>
              <w:t xml:space="preserve">-$5,647</w:t>
            </w:r>
          </w:p>
        </w:tc>
        <w:tc>
          <w:tcPr/>
          <w:p>
            <w:pPr>
              <w:pStyle w:val="Compact"/>
              <w:jc w:val="right"/>
            </w:pPr>
            <w:r>
              <w:t xml:space="preserve">$555</w:t>
            </w:r>
          </w:p>
        </w:tc>
        <w:tc>
          <w:tcPr/>
          <w:p>
            <w:pPr>
              <w:pStyle w:val="Compact"/>
              <w:jc w:val="right"/>
            </w:pPr>
            <w:r>
              <w:t xml:space="preserve">-$387</w:t>
            </w:r>
          </w:p>
        </w:tc>
        <w:tc>
          <w:tcPr/>
          <w:p>
            <w:pPr>
              <w:pStyle w:val="Compact"/>
              <w:jc w:val="right"/>
            </w:pPr>
            <w:r>
              <w:t xml:space="preserve">$666</w:t>
            </w:r>
          </w:p>
        </w:tc>
      </w:tr>
    </w:tbl>
    <w:p>
      <w:pPr>
        <w:pStyle w:val="BodyText"/>
      </w:pPr>
      <w:r>
        <w:rPr>
          <w:b/>
          <w:bCs/>
        </w:rPr>
        <w:t xml:space="preserve">Table 6.</w:t>
      </w:r>
      <w:r>
        <w:t xml:space="preserve"> </w:t>
      </w:r>
      <w:r>
        <w:t xml:space="preserve">The 20 largest drivers of the squared-error LightGBM predictions.</w:t>
      </w:r>
    </w:p>
    <w:p>
      <w:pPr>
        <w:pStyle w:val="BodyText"/>
      </w:pPr>
      <w:r>
        <w:rPr>
          <w:i/>
          <w:iCs/>
        </w:rPr>
        <w:t xml:space="preserve">Weighted mean absolute SHAP value on held-out folds. Rank stability across folds: mean Spearman correlation 0.80 over all features and 0.77 over the top 30. The last column is the loss in held-out R² when the feature is permuted in the CANN.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Rank</w:t>
            </w:r>
          </w:p>
        </w:tc>
        <w:tc>
          <w:tcPr/>
          <w:p>
            <w:pPr>
              <w:pStyle w:val="Compact"/>
              <w:jc w:val="right"/>
            </w:pPr>
            <w:r>
              <w:t xml:space="preserve">Feature</w:t>
            </w:r>
          </w:p>
        </w:tc>
        <w:tc>
          <w:tcPr/>
          <w:p>
            <w:pPr>
              <w:pStyle w:val="Compact"/>
              <w:jc w:val="right"/>
            </w:pPr>
            <w:r>
              <w:t xml:space="preserve">Mean</w:t>
            </w:r>
          </w:p>
        </w:tc>
        <w:tc>
          <w:tcPr/>
          <w:p>
            <w:pPr>
              <w:pStyle w:val="Compact"/>
              <w:jc w:val="right"/>
            </w:pPr>
            <w:r>
              <w:t xml:space="preserve">SHAP</w:t>
            </w:r>
          </w:p>
        </w:tc>
        <w:tc>
          <w:tcPr/>
          <w:p>
            <w:pPr>
              <w:pStyle w:val="Compact"/>
            </w:pPr>
          </w:p>
        </w:tc>
      </w:tr>
      <w:tr>
        <w:tc>
          <w:tcPr/>
          <w:p>
            <w:pPr>
              <w:pStyle w:val="Compact"/>
            </w:pPr>
            <w:r>
              <w:t xml:space="preserve">1</w:t>
            </w:r>
          </w:p>
        </w:tc>
        <w:tc>
          <w:tcPr/>
          <w:p>
            <w:pPr>
              <w:pStyle w:val="Compact"/>
              <w:jc w:val="right"/>
            </w:pPr>
            <w:r>
              <w:t xml:space="preserve">log_spend_y1</w:t>
            </w:r>
          </w:p>
        </w:tc>
        <w:tc>
          <w:tcPr/>
          <w:p>
            <w:pPr>
              <w:pStyle w:val="Compact"/>
              <w:jc w:val="right"/>
            </w:pPr>
            <w:r>
              <w:t xml:space="preserve">$3,970</w:t>
            </w:r>
          </w:p>
        </w:tc>
        <w:tc>
          <w:tcPr/>
          <w:p>
            <w:pPr>
              <w:pStyle w:val="Compact"/>
              <w:jc w:val="right"/>
            </w:pPr>
            <w:r>
              <w:t xml:space="preserve">$242</w:t>
            </w:r>
          </w:p>
        </w:tc>
        <w:tc>
          <w:tcPr/>
          <w:p>
            <w:pPr>
              <w:pStyle w:val="Compact"/>
              <w:jc w:val="right"/>
            </w:pPr>
            <w:r>
              <w:t xml:space="preserve">0.1083</w:t>
            </w:r>
          </w:p>
        </w:tc>
      </w:tr>
      <w:tr>
        <w:tc>
          <w:tcPr/>
          <w:p>
            <w:pPr>
              <w:pStyle w:val="Compact"/>
            </w:pPr>
            <w:r>
              <w:t xml:space="preserve">2</w:t>
            </w:r>
          </w:p>
        </w:tc>
        <w:tc>
          <w:tcPr/>
          <w:p>
            <w:pPr>
              <w:pStyle w:val="Compact"/>
              <w:jc w:val="right"/>
            </w:pPr>
            <w:r>
              <w:t xml:space="preserve">log_rx_fills_y1</w:t>
            </w:r>
          </w:p>
        </w:tc>
        <w:tc>
          <w:tcPr/>
          <w:p>
            <w:pPr>
              <w:pStyle w:val="Compact"/>
              <w:jc w:val="right"/>
            </w:pPr>
            <w:r>
              <w:t xml:space="preserve">$1,625</w:t>
            </w:r>
          </w:p>
        </w:tc>
        <w:tc>
          <w:tcPr/>
          <w:p>
            <w:pPr>
              <w:pStyle w:val="Compact"/>
              <w:jc w:val="right"/>
            </w:pPr>
            <w:r>
              <w:t xml:space="preserve">$181</w:t>
            </w:r>
          </w:p>
        </w:tc>
        <w:tc>
          <w:tcPr/>
          <w:p>
            <w:pPr>
              <w:pStyle w:val="Compact"/>
              <w:jc w:val="right"/>
            </w:pPr>
            <w:r>
              <w:t xml:space="preserve">0.0022</w:t>
            </w:r>
          </w:p>
        </w:tc>
      </w:tr>
      <w:tr>
        <w:tc>
          <w:tcPr/>
          <w:p>
            <w:pPr>
              <w:pStyle w:val="Compact"/>
            </w:pPr>
            <w:r>
              <w:t xml:space="preserve">3</w:t>
            </w:r>
          </w:p>
        </w:tc>
        <w:tc>
          <w:tcPr/>
          <w:p>
            <w:pPr>
              <w:pStyle w:val="Compact"/>
              <w:jc w:val="right"/>
            </w:pPr>
            <w:r>
              <w:t xml:space="preserve">n_conditions</w:t>
            </w:r>
          </w:p>
        </w:tc>
        <w:tc>
          <w:tcPr/>
          <w:p>
            <w:pPr>
              <w:pStyle w:val="Compact"/>
              <w:jc w:val="right"/>
            </w:pPr>
            <w:r>
              <w:t xml:space="preserve">$1,015</w:t>
            </w:r>
          </w:p>
        </w:tc>
        <w:tc>
          <w:tcPr/>
          <w:p>
            <w:pPr>
              <w:pStyle w:val="Compact"/>
              <w:jc w:val="right"/>
            </w:pPr>
            <w:r>
              <w:t xml:space="preserve">$168</w:t>
            </w:r>
          </w:p>
        </w:tc>
        <w:tc>
          <w:tcPr/>
          <w:p>
            <w:pPr>
              <w:pStyle w:val="Compact"/>
              <w:jc w:val="right"/>
            </w:pPr>
            <w:r>
              <w:t xml:space="preserve">0.0205</w:t>
            </w:r>
          </w:p>
        </w:tc>
      </w:tr>
      <w:tr>
        <w:tc>
          <w:tcPr/>
          <w:p>
            <w:pPr>
              <w:pStyle w:val="Compact"/>
            </w:pPr>
            <w:r>
              <w:t xml:space="preserve">4</w:t>
            </w:r>
          </w:p>
        </w:tc>
        <w:tc>
          <w:tcPr/>
          <w:p>
            <w:pPr>
              <w:pStyle w:val="Compact"/>
              <w:jc w:val="right"/>
            </w:pPr>
            <w:r>
              <w:t xml:space="preserve">log_office_visits_y1</w:t>
            </w:r>
          </w:p>
        </w:tc>
        <w:tc>
          <w:tcPr/>
          <w:p>
            <w:pPr>
              <w:pStyle w:val="Compact"/>
              <w:jc w:val="right"/>
            </w:pPr>
            <w:r>
              <w:t xml:space="preserve">$557</w:t>
            </w:r>
          </w:p>
        </w:tc>
        <w:tc>
          <w:tcPr/>
          <w:p>
            <w:pPr>
              <w:pStyle w:val="Compact"/>
              <w:jc w:val="right"/>
            </w:pPr>
            <w:r>
              <w:t xml:space="preserve">$47</w:t>
            </w:r>
          </w:p>
        </w:tc>
        <w:tc>
          <w:tcPr/>
          <w:p>
            <w:pPr>
              <w:pStyle w:val="Compact"/>
              <w:jc w:val="right"/>
            </w:pPr>
            <w:r>
              <w:t xml:space="preserve">-0.0019</w:t>
            </w:r>
          </w:p>
        </w:tc>
      </w:tr>
      <w:tr>
        <w:tc>
          <w:tcPr/>
          <w:p>
            <w:pPr>
              <w:pStyle w:val="Compact"/>
            </w:pPr>
            <w:r>
              <w:t xml:space="preserve">5</w:t>
            </w:r>
          </w:p>
        </w:tc>
        <w:tc>
          <w:tcPr/>
          <w:p>
            <w:pPr>
              <w:pStyle w:val="Compact"/>
              <w:jc w:val="right"/>
            </w:pPr>
            <w:r>
              <w:t xml:space="preserve">log_inpatient_y1</w:t>
            </w:r>
          </w:p>
        </w:tc>
        <w:tc>
          <w:tcPr/>
          <w:p>
            <w:pPr>
              <w:pStyle w:val="Compact"/>
              <w:jc w:val="right"/>
            </w:pPr>
            <w:r>
              <w:t xml:space="preserve">$386</w:t>
            </w:r>
          </w:p>
        </w:tc>
        <w:tc>
          <w:tcPr/>
          <w:p>
            <w:pPr>
              <w:pStyle w:val="Compact"/>
              <w:jc w:val="right"/>
            </w:pPr>
            <w:r>
              <w:t xml:space="preserve">$98</w:t>
            </w:r>
          </w:p>
        </w:tc>
        <w:tc>
          <w:tcPr/>
          <w:p>
            <w:pPr>
              <w:pStyle w:val="Compact"/>
              <w:jc w:val="right"/>
            </w:pPr>
            <w:r>
              <w:t xml:space="preserve">0.0168</w:t>
            </w:r>
          </w:p>
        </w:tc>
      </w:tr>
      <w:tr>
        <w:tc>
          <w:tcPr/>
          <w:p>
            <w:pPr>
              <w:pStyle w:val="Compact"/>
            </w:pPr>
            <w:r>
              <w:t xml:space="preserve">6</w:t>
            </w:r>
          </w:p>
        </w:tc>
        <w:tc>
          <w:tcPr/>
          <w:p>
            <w:pPr>
              <w:pStyle w:val="Compact"/>
              <w:jc w:val="right"/>
            </w:pPr>
            <w:r>
              <w:t xml:space="preserve">n_body_systems</w:t>
            </w:r>
          </w:p>
        </w:tc>
        <w:tc>
          <w:tcPr/>
          <w:p>
            <w:pPr>
              <w:pStyle w:val="Compact"/>
              <w:jc w:val="right"/>
            </w:pPr>
            <w:r>
              <w:t xml:space="preserve">$311</w:t>
            </w:r>
          </w:p>
        </w:tc>
        <w:tc>
          <w:tcPr/>
          <w:p>
            <w:pPr>
              <w:pStyle w:val="Compact"/>
              <w:jc w:val="right"/>
            </w:pPr>
            <w:r>
              <w:t xml:space="preserve">$48</w:t>
            </w:r>
          </w:p>
        </w:tc>
        <w:tc>
          <w:tcPr/>
          <w:p>
            <w:pPr>
              <w:pStyle w:val="Compact"/>
              <w:jc w:val="right"/>
            </w:pPr>
            <w:r>
              <w:t xml:space="preserve">-0.0083</w:t>
            </w:r>
          </w:p>
        </w:tc>
      </w:tr>
      <w:tr>
        <w:tc>
          <w:tcPr/>
          <w:p>
            <w:pPr>
              <w:pStyle w:val="Compact"/>
            </w:pPr>
            <w:r>
              <w:t xml:space="preserve">7</w:t>
            </w:r>
          </w:p>
        </w:tc>
        <w:tc>
          <w:tcPr/>
          <w:p>
            <w:pPr>
              <w:pStyle w:val="Compact"/>
              <w:jc w:val="right"/>
            </w:pPr>
            <w:r>
              <w:t xml:space="preserve">END002 Diabetes mellitus without complication</w:t>
            </w:r>
          </w:p>
        </w:tc>
        <w:tc>
          <w:tcPr/>
          <w:p>
            <w:pPr>
              <w:pStyle w:val="Compact"/>
              <w:jc w:val="right"/>
            </w:pPr>
            <w:r>
              <w:t xml:space="preserve">$172</w:t>
            </w:r>
          </w:p>
        </w:tc>
        <w:tc>
          <w:tcPr/>
          <w:p>
            <w:pPr>
              <w:pStyle w:val="Compact"/>
              <w:jc w:val="right"/>
            </w:pPr>
            <w:r>
              <w:t xml:space="preserve">$26</w:t>
            </w:r>
          </w:p>
        </w:tc>
        <w:tc>
          <w:tcPr/>
          <w:p>
            <w:pPr>
              <w:pStyle w:val="Compact"/>
              <w:jc w:val="right"/>
            </w:pPr>
            <w:r>
              <w:t xml:space="preserve">-0.0009</w:t>
            </w:r>
          </w:p>
        </w:tc>
      </w:tr>
      <w:tr>
        <w:tc>
          <w:tcPr/>
          <w:p>
            <w:pPr>
              <w:pStyle w:val="Compact"/>
            </w:pPr>
            <w:r>
              <w:t xml:space="preserve">8</w:t>
            </w:r>
          </w:p>
        </w:tc>
        <w:tc>
          <w:tcPr/>
          <w:p>
            <w:pPr>
              <w:pStyle w:val="Compact"/>
              <w:jc w:val="right"/>
            </w:pPr>
            <w:r>
              <w:t xml:space="preserve">age_55-64</w:t>
            </w:r>
          </w:p>
        </w:tc>
        <w:tc>
          <w:tcPr/>
          <w:p>
            <w:pPr>
              <w:pStyle w:val="Compact"/>
              <w:jc w:val="right"/>
            </w:pPr>
            <w:r>
              <w:t xml:space="preserve">$167</w:t>
            </w:r>
          </w:p>
        </w:tc>
        <w:tc>
          <w:tcPr/>
          <w:p>
            <w:pPr>
              <w:pStyle w:val="Compact"/>
              <w:jc w:val="right"/>
            </w:pPr>
            <w:r>
              <w:t xml:space="preserve">$53</w:t>
            </w:r>
          </w:p>
        </w:tc>
        <w:tc>
          <w:tcPr/>
          <w:p>
            <w:pPr>
              <w:pStyle w:val="Compact"/>
              <w:jc w:val="right"/>
            </w:pPr>
            <w:r>
              <w:t xml:space="preserve">0.0143</w:t>
            </w:r>
          </w:p>
        </w:tc>
      </w:tr>
      <w:tr>
        <w:tc>
          <w:tcPr/>
          <w:p>
            <w:pPr>
              <w:pStyle w:val="Compact"/>
            </w:pPr>
            <w:r>
              <w:t xml:space="preserve">9</w:t>
            </w:r>
          </w:p>
        </w:tc>
        <w:tc>
          <w:tcPr/>
          <w:p>
            <w:pPr>
              <w:pStyle w:val="Compact"/>
              <w:jc w:val="right"/>
            </w:pPr>
            <w:r>
              <w:t xml:space="preserve">age_65-74</w:t>
            </w:r>
          </w:p>
        </w:tc>
        <w:tc>
          <w:tcPr/>
          <w:p>
            <w:pPr>
              <w:pStyle w:val="Compact"/>
              <w:jc w:val="right"/>
            </w:pPr>
            <w:r>
              <w:t xml:space="preserve">$119</w:t>
            </w:r>
          </w:p>
        </w:tc>
        <w:tc>
          <w:tcPr/>
          <w:p>
            <w:pPr>
              <w:pStyle w:val="Compact"/>
              <w:jc w:val="right"/>
            </w:pPr>
            <w:r>
              <w:t xml:space="preserve">$15</w:t>
            </w:r>
          </w:p>
        </w:tc>
        <w:tc>
          <w:tcPr/>
          <w:p>
            <w:pPr>
              <w:pStyle w:val="Compact"/>
              <w:jc w:val="right"/>
            </w:pPr>
            <w:r>
              <w:t xml:space="preserve">0.0025</w:t>
            </w:r>
          </w:p>
        </w:tc>
      </w:tr>
      <w:tr>
        <w:tc>
          <w:tcPr/>
          <w:p>
            <w:pPr>
              <w:pStyle w:val="Compact"/>
            </w:pPr>
            <w:r>
              <w:t xml:space="preserve">10</w:t>
            </w:r>
          </w:p>
        </w:tc>
        <w:tc>
          <w:tcPr/>
          <w:p>
            <w:pPr>
              <w:pStyle w:val="Compact"/>
              <w:jc w:val="right"/>
            </w:pPr>
            <w:r>
              <w:t xml:space="preserve">MUS003 Rheumatoid arthritis and related disease</w:t>
            </w:r>
          </w:p>
        </w:tc>
        <w:tc>
          <w:tcPr/>
          <w:p>
            <w:pPr>
              <w:pStyle w:val="Compact"/>
              <w:jc w:val="right"/>
            </w:pPr>
            <w:r>
              <w:t xml:space="preserve">$116</w:t>
            </w:r>
          </w:p>
        </w:tc>
        <w:tc>
          <w:tcPr/>
          <w:p>
            <w:pPr>
              <w:pStyle w:val="Compact"/>
              <w:jc w:val="right"/>
            </w:pPr>
            <w:r>
              <w:t xml:space="preserve">$52</w:t>
            </w:r>
          </w:p>
        </w:tc>
        <w:tc>
          <w:tcPr/>
          <w:p>
            <w:pPr>
              <w:pStyle w:val="Compact"/>
              <w:jc w:val="right"/>
            </w:pPr>
            <w:r>
              <w:t xml:space="preserve">-0.0131</w:t>
            </w:r>
          </w:p>
        </w:tc>
      </w:tr>
      <w:tr>
        <w:tc>
          <w:tcPr/>
          <w:p>
            <w:pPr>
              <w:pStyle w:val="Compact"/>
            </w:pPr>
            <w:r>
              <w:t xml:space="preserve">11</w:t>
            </w:r>
          </w:p>
        </w:tc>
        <w:tc>
          <w:tcPr/>
          <w:p>
            <w:pPr>
              <w:pStyle w:val="Compact"/>
              <w:jc w:val="right"/>
            </w:pPr>
            <w:r>
              <w:t xml:space="preserve">age_5-17</w:t>
            </w:r>
          </w:p>
        </w:tc>
        <w:tc>
          <w:tcPr/>
          <w:p>
            <w:pPr>
              <w:pStyle w:val="Compact"/>
              <w:jc w:val="right"/>
            </w:pPr>
            <w:r>
              <w:t xml:space="preserve">$112</w:t>
            </w:r>
          </w:p>
        </w:tc>
        <w:tc>
          <w:tcPr/>
          <w:p>
            <w:pPr>
              <w:pStyle w:val="Compact"/>
              <w:jc w:val="right"/>
            </w:pPr>
            <w:r>
              <w:t xml:space="preserve">$22</w:t>
            </w:r>
          </w:p>
        </w:tc>
        <w:tc>
          <w:tcPr/>
          <w:p>
            <w:pPr>
              <w:pStyle w:val="Compact"/>
              <w:jc w:val="right"/>
            </w:pPr>
            <w:r>
              <w:t xml:space="preserve">-0.0082</w:t>
            </w:r>
          </w:p>
        </w:tc>
      </w:tr>
      <w:tr>
        <w:tc>
          <w:tcPr/>
          <w:p>
            <w:pPr>
              <w:pStyle w:val="Compact"/>
            </w:pPr>
            <w:r>
              <w:t xml:space="preserve">12</w:t>
            </w:r>
          </w:p>
        </w:tc>
        <w:tc>
          <w:tcPr/>
          <w:p>
            <w:pPr>
              <w:pStyle w:val="Compact"/>
              <w:jc w:val="right"/>
            </w:pPr>
            <w:r>
              <w:t xml:space="preserve">age_75-84</w:t>
            </w:r>
          </w:p>
        </w:tc>
        <w:tc>
          <w:tcPr/>
          <w:p>
            <w:pPr>
              <w:pStyle w:val="Compact"/>
              <w:jc w:val="right"/>
            </w:pPr>
            <w:r>
              <w:t xml:space="preserve">$110</w:t>
            </w:r>
          </w:p>
        </w:tc>
        <w:tc>
          <w:tcPr/>
          <w:p>
            <w:pPr>
              <w:pStyle w:val="Compact"/>
              <w:jc w:val="right"/>
            </w:pPr>
            <w:r>
              <w:t xml:space="preserve">$27</w:t>
            </w:r>
          </w:p>
        </w:tc>
        <w:tc>
          <w:tcPr/>
          <w:p>
            <w:pPr>
              <w:pStyle w:val="Compact"/>
              <w:jc w:val="right"/>
            </w:pPr>
            <w:r>
              <w:t xml:space="preserve">-0.0030</w:t>
            </w:r>
          </w:p>
        </w:tc>
      </w:tr>
      <w:tr>
        <w:tc>
          <w:tcPr/>
          <w:p>
            <w:pPr>
              <w:pStyle w:val="Compact"/>
            </w:pPr>
            <w:r>
              <w:t xml:space="preserve">13</w:t>
            </w:r>
          </w:p>
        </w:tc>
        <w:tc>
          <w:tcPr/>
          <w:p>
            <w:pPr>
              <w:pStyle w:val="Compact"/>
              <w:jc w:val="right"/>
            </w:pPr>
            <w:r>
              <w:t xml:space="preserve">END001 Thyroid disorders</w:t>
            </w:r>
          </w:p>
        </w:tc>
        <w:tc>
          <w:tcPr/>
          <w:p>
            <w:pPr>
              <w:pStyle w:val="Compact"/>
              <w:jc w:val="right"/>
            </w:pPr>
            <w:r>
              <w:t xml:space="preserve">$100</w:t>
            </w:r>
          </w:p>
        </w:tc>
        <w:tc>
          <w:tcPr/>
          <w:p>
            <w:pPr>
              <w:pStyle w:val="Compact"/>
              <w:jc w:val="right"/>
            </w:pPr>
            <w:r>
              <w:t xml:space="preserve">$27</w:t>
            </w:r>
          </w:p>
        </w:tc>
        <w:tc>
          <w:tcPr/>
          <w:p>
            <w:pPr>
              <w:pStyle w:val="Compact"/>
              <w:jc w:val="right"/>
            </w:pPr>
            <w:r>
              <w:t xml:space="preserve">0.0035</w:t>
            </w:r>
          </w:p>
        </w:tc>
      </w:tr>
      <w:tr>
        <w:tc>
          <w:tcPr/>
          <w:p>
            <w:pPr>
              <w:pStyle w:val="Compact"/>
            </w:pPr>
            <w:r>
              <w:t xml:space="preserve">14</w:t>
            </w:r>
          </w:p>
        </w:tc>
        <w:tc>
          <w:tcPr/>
          <w:p>
            <w:pPr>
              <w:pStyle w:val="Compact"/>
              <w:jc w:val="right"/>
            </w:pPr>
            <w:r>
              <w:t xml:space="preserve">age_25-34_x_female</w:t>
            </w:r>
          </w:p>
        </w:tc>
        <w:tc>
          <w:tcPr/>
          <w:p>
            <w:pPr>
              <w:pStyle w:val="Compact"/>
              <w:jc w:val="right"/>
            </w:pPr>
            <w:r>
              <w:t xml:space="preserve">$95</w:t>
            </w:r>
          </w:p>
        </w:tc>
        <w:tc>
          <w:tcPr/>
          <w:p>
            <w:pPr>
              <w:pStyle w:val="Compact"/>
              <w:jc w:val="right"/>
            </w:pPr>
            <w:r>
              <w:t xml:space="preserve">$27</w:t>
            </w:r>
          </w:p>
        </w:tc>
        <w:tc>
          <w:tcPr/>
          <w:p>
            <w:pPr>
              <w:pStyle w:val="Compact"/>
              <w:jc w:val="right"/>
            </w:pPr>
            <w:r>
              <w:t xml:space="preserve">0.0096</w:t>
            </w:r>
          </w:p>
        </w:tc>
      </w:tr>
      <w:tr>
        <w:tc>
          <w:tcPr/>
          <w:p>
            <w:pPr>
              <w:pStyle w:val="Compact"/>
            </w:pPr>
            <w:r>
              <w:t xml:space="preserve">15</w:t>
            </w:r>
          </w:p>
        </w:tc>
        <w:tc>
          <w:tcPr/>
          <w:p>
            <w:pPr>
              <w:pStyle w:val="Compact"/>
              <w:jc w:val="right"/>
            </w:pPr>
            <w:r>
              <w:t xml:space="preserve">age_85+</w:t>
            </w:r>
          </w:p>
        </w:tc>
        <w:tc>
          <w:tcPr/>
          <w:p>
            <w:pPr>
              <w:pStyle w:val="Compact"/>
              <w:jc w:val="right"/>
            </w:pPr>
            <w:r>
              <w:t xml:space="preserve">$84</w:t>
            </w:r>
          </w:p>
        </w:tc>
        <w:tc>
          <w:tcPr/>
          <w:p>
            <w:pPr>
              <w:pStyle w:val="Compact"/>
              <w:jc w:val="right"/>
            </w:pPr>
            <w:r>
              <w:t xml:space="preserve">$19</w:t>
            </w:r>
          </w:p>
        </w:tc>
        <w:tc>
          <w:tcPr/>
          <w:p>
            <w:pPr>
              <w:pStyle w:val="Compact"/>
              <w:jc w:val="right"/>
            </w:pPr>
            <w:r>
              <w:t xml:space="preserve">0.0057</w:t>
            </w:r>
          </w:p>
        </w:tc>
      </w:tr>
      <w:tr>
        <w:tc>
          <w:tcPr/>
          <w:p>
            <w:pPr>
              <w:pStyle w:val="Compact"/>
            </w:pPr>
            <w:r>
              <w:t xml:space="preserve">16</w:t>
            </w:r>
          </w:p>
        </w:tc>
        <w:tc>
          <w:tcPr/>
          <w:p>
            <w:pPr>
              <w:pStyle w:val="Compact"/>
              <w:jc w:val="right"/>
            </w:pPr>
            <w:r>
              <w:t xml:space="preserve">log_er_visits_y1</w:t>
            </w:r>
          </w:p>
        </w:tc>
        <w:tc>
          <w:tcPr/>
          <w:p>
            <w:pPr>
              <w:pStyle w:val="Compact"/>
              <w:jc w:val="right"/>
            </w:pPr>
            <w:r>
              <w:t xml:space="preserve">$74</w:t>
            </w:r>
          </w:p>
        </w:tc>
        <w:tc>
          <w:tcPr/>
          <w:p>
            <w:pPr>
              <w:pStyle w:val="Compact"/>
              <w:jc w:val="right"/>
            </w:pPr>
            <w:r>
              <w:t xml:space="preserve">$31</w:t>
            </w:r>
          </w:p>
        </w:tc>
        <w:tc>
          <w:tcPr/>
          <w:p>
            <w:pPr>
              <w:pStyle w:val="Compact"/>
              <w:jc w:val="right"/>
            </w:pPr>
            <w:r>
              <w:t xml:space="preserve">0.0022</w:t>
            </w:r>
          </w:p>
        </w:tc>
      </w:tr>
      <w:tr>
        <w:tc>
          <w:tcPr/>
          <w:p>
            <w:pPr>
              <w:pStyle w:val="Compact"/>
            </w:pPr>
            <w:r>
              <w:t xml:space="preserve">17</w:t>
            </w:r>
          </w:p>
        </w:tc>
        <w:tc>
          <w:tcPr/>
          <w:p>
            <w:pPr>
              <w:pStyle w:val="Compact"/>
              <w:jc w:val="right"/>
            </w:pPr>
            <w:r>
              <w:t xml:space="preserve">region_3.0</w:t>
            </w:r>
          </w:p>
        </w:tc>
        <w:tc>
          <w:tcPr/>
          <w:p>
            <w:pPr>
              <w:pStyle w:val="Compact"/>
              <w:jc w:val="right"/>
            </w:pPr>
            <w:r>
              <w:t xml:space="preserve">$73</w:t>
            </w:r>
          </w:p>
        </w:tc>
        <w:tc>
          <w:tcPr/>
          <w:p>
            <w:pPr>
              <w:pStyle w:val="Compact"/>
              <w:jc w:val="right"/>
            </w:pPr>
            <w:r>
              <w:t xml:space="preserve">$28</w:t>
            </w:r>
          </w:p>
        </w:tc>
        <w:tc>
          <w:tcPr/>
          <w:p>
            <w:pPr>
              <w:pStyle w:val="Compact"/>
              <w:jc w:val="right"/>
            </w:pPr>
            <w:r>
              <w:t xml:space="preserve">0.0028</w:t>
            </w:r>
          </w:p>
        </w:tc>
      </w:tr>
      <w:tr>
        <w:tc>
          <w:tcPr/>
          <w:p>
            <w:pPr>
              <w:pStyle w:val="Compact"/>
            </w:pPr>
            <w:r>
              <w:t xml:space="preserve">18</w:t>
            </w:r>
          </w:p>
        </w:tc>
        <w:tc>
          <w:tcPr/>
          <w:p>
            <w:pPr>
              <w:pStyle w:val="Compact"/>
              <w:jc w:val="right"/>
            </w:pPr>
            <w:r>
              <w:t xml:space="preserve">END010 Disorders of lipid metabolism</w:t>
            </w:r>
          </w:p>
        </w:tc>
        <w:tc>
          <w:tcPr/>
          <w:p>
            <w:pPr>
              <w:pStyle w:val="Compact"/>
              <w:jc w:val="right"/>
            </w:pPr>
            <w:r>
              <w:t xml:space="preserve">$72</w:t>
            </w:r>
          </w:p>
        </w:tc>
        <w:tc>
          <w:tcPr/>
          <w:p>
            <w:pPr>
              <w:pStyle w:val="Compact"/>
              <w:jc w:val="right"/>
            </w:pPr>
            <w:r>
              <w:t xml:space="preserve">$30</w:t>
            </w:r>
          </w:p>
        </w:tc>
        <w:tc>
          <w:tcPr/>
          <w:p>
            <w:pPr>
              <w:pStyle w:val="Compact"/>
              <w:jc w:val="right"/>
            </w:pPr>
            <w:r>
              <w:t xml:space="preserve">0.0110</w:t>
            </w:r>
          </w:p>
        </w:tc>
      </w:tr>
      <w:tr>
        <w:tc>
          <w:tcPr/>
          <w:p>
            <w:pPr>
              <w:pStyle w:val="Compact"/>
            </w:pPr>
            <w:r>
              <w:t xml:space="preserve">19</w:t>
            </w:r>
          </w:p>
        </w:tc>
        <w:tc>
          <w:tcPr/>
          <w:p>
            <w:pPr>
              <w:pStyle w:val="Compact"/>
              <w:jc w:val="right"/>
            </w:pPr>
            <w:r>
              <w:t xml:space="preserve">MUS006 Osteoarthritis</w:t>
            </w:r>
          </w:p>
        </w:tc>
        <w:tc>
          <w:tcPr/>
          <w:p>
            <w:pPr>
              <w:pStyle w:val="Compact"/>
              <w:jc w:val="right"/>
            </w:pPr>
            <w:r>
              <w:t xml:space="preserve">$69</w:t>
            </w:r>
          </w:p>
        </w:tc>
        <w:tc>
          <w:tcPr/>
          <w:p>
            <w:pPr>
              <w:pStyle w:val="Compact"/>
              <w:jc w:val="right"/>
            </w:pPr>
            <w:r>
              <w:t xml:space="preserve">$25</w:t>
            </w:r>
          </w:p>
        </w:tc>
        <w:tc>
          <w:tcPr/>
          <w:p>
            <w:pPr>
              <w:pStyle w:val="Compact"/>
              <w:jc w:val="right"/>
            </w:pPr>
            <w:r>
              <w:t xml:space="preserve">-0.0000</w:t>
            </w:r>
          </w:p>
        </w:tc>
      </w:tr>
      <w:tr>
        <w:tc>
          <w:tcPr/>
          <w:p>
            <w:pPr>
              <w:pStyle w:val="Compact"/>
            </w:pPr>
            <w:r>
              <w:t xml:space="preserve">20</w:t>
            </w:r>
          </w:p>
        </w:tc>
        <w:tc>
          <w:tcPr/>
          <w:p>
            <w:pPr>
              <w:pStyle w:val="Compact"/>
              <w:jc w:val="right"/>
            </w:pPr>
            <w:r>
              <w:t xml:space="preserve">region_2.0</w:t>
            </w:r>
          </w:p>
        </w:tc>
        <w:tc>
          <w:tcPr/>
          <w:p>
            <w:pPr>
              <w:pStyle w:val="Compact"/>
              <w:jc w:val="right"/>
            </w:pPr>
            <w:r>
              <w:t xml:space="preserve">$65</w:t>
            </w:r>
          </w:p>
        </w:tc>
        <w:tc>
          <w:tcPr/>
          <w:p>
            <w:pPr>
              <w:pStyle w:val="Compact"/>
              <w:jc w:val="right"/>
            </w:pPr>
            <w:r>
              <w:t xml:space="preserve">$24</w:t>
            </w:r>
          </w:p>
        </w:tc>
        <w:tc>
          <w:tcPr/>
          <w:p>
            <w:pPr>
              <w:pStyle w:val="Compact"/>
              <w:jc w:val="right"/>
            </w:pPr>
            <w:r>
              <w:t xml:space="preserve">-0.0013</w:t>
            </w:r>
          </w:p>
        </w:tc>
      </w:tr>
    </w:tbl>
    <w:p>
      <w:pPr>
        <w:pStyle w:val="BodyText"/>
      </w:pPr>
      <w:r>
        <w:rPr>
          <w:b/>
          <w:bCs/>
        </w:rPr>
        <w:t xml:space="preserve">Table 7.</w:t>
      </w:r>
      <w:r>
        <w:t xml:space="preserve"> </w:t>
      </w:r>
      <w:r>
        <w:t xml:space="preserve">Coding sensitivity: rise in predicted spending per added condition code, 10% of people affected.</w:t>
      </w:r>
    </w:p>
    <w:p>
      <w:pPr>
        <w:pStyle w:val="BodyText"/>
      </w:pPr>
      <w:r>
        <w:rPr>
          <w:i/>
          <w:iCs/>
        </w:rPr>
        <w:t xml:space="preserve">Codes the person did not have are switched on; use and spending are unchanged. The last column is the rise in total predicted spending when 10% of people gain one chronic code.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Model</w:t>
            </w:r>
          </w:p>
        </w:tc>
        <w:tc>
          <w:tcPr/>
          <w:p>
            <w:pPr>
              <w:pStyle w:val="Compact"/>
              <w:jc w:val="right"/>
            </w:pPr>
            <w:r>
              <w:t xml:space="preserve">chronic, 1 code</w:t>
            </w:r>
          </w:p>
        </w:tc>
        <w:tc>
          <w:tcPr/>
          <w:p>
            <w:pPr>
              <w:pStyle w:val="Compact"/>
              <w:jc w:val="right"/>
            </w:pPr>
            <w:r>
              <w:t xml:space="preserve">chronic, 2 codes</w:t>
            </w:r>
          </w:p>
        </w:tc>
        <w:tc>
          <w:tcPr/>
          <w:p>
            <w:pPr>
              <w:pStyle w:val="Compact"/>
              <w:jc w:val="right"/>
            </w:pPr>
            <w:r>
              <w:t xml:space="preserve">prevalence, 1 code</w:t>
            </w:r>
          </w:p>
        </w:tc>
        <w:tc>
          <w:tcPr/>
          <w:p>
            <w:pPr>
              <w:pStyle w:val="Compact"/>
              <w:jc w:val="right"/>
            </w:pPr>
            <w:r>
              <w:t xml:space="preserve">prevalence, 2 codes</w:t>
            </w:r>
          </w:p>
        </w:tc>
        <w:tc>
          <w:tcPr/>
          <w:p>
            <w:pPr>
              <w:pStyle w:val="Compact"/>
              <w:jc w:val="right"/>
            </w:pPr>
            <w:r>
              <w:t xml:space="preserve">Total rise, 1 chronic code</w:t>
            </w:r>
          </w:p>
        </w:tc>
      </w:tr>
      <w:tr>
        <w:tc>
          <w:tcPr/>
          <w:p>
            <w:pPr>
              <w:pStyle w:val="Compact"/>
            </w:pPr>
            <w:r>
              <w:t xml:space="preserve">CANN</w:t>
            </w:r>
          </w:p>
        </w:tc>
        <w:tc>
          <w:tcPr/>
          <w:p>
            <w:pPr>
              <w:pStyle w:val="Compact"/>
              <w:jc w:val="right"/>
            </w:pPr>
            <w:r>
              <w:t xml:space="preserve">$953</w:t>
            </w:r>
          </w:p>
        </w:tc>
        <w:tc>
          <w:tcPr/>
          <w:p>
            <w:pPr>
              <w:pStyle w:val="Compact"/>
              <w:jc w:val="right"/>
            </w:pPr>
            <w:r>
              <w:t xml:space="preserve">$952</w:t>
            </w:r>
          </w:p>
        </w:tc>
        <w:tc>
          <w:tcPr/>
          <w:p>
            <w:pPr>
              <w:pStyle w:val="Compact"/>
              <w:jc w:val="right"/>
            </w:pPr>
            <w:r>
              <w:t xml:space="preserve">$482</w:t>
            </w:r>
          </w:p>
        </w:tc>
        <w:tc>
          <w:tcPr/>
          <w:p>
            <w:pPr>
              <w:pStyle w:val="Compact"/>
              <w:jc w:val="right"/>
            </w:pPr>
            <w:r>
              <w:t xml:space="preserve">$398</w:t>
            </w:r>
          </w:p>
        </w:tc>
        <w:tc>
          <w:tcPr/>
          <w:p>
            <w:pPr>
              <w:pStyle w:val="Compact"/>
              <w:jc w:val="right"/>
            </w:pPr>
            <w:r>
              <w:t xml:space="preserve">1.25%</w:t>
            </w:r>
          </w:p>
        </w:tc>
      </w:tr>
      <w:tr>
        <w:tc>
          <w:tcPr/>
          <w:p>
            <w:pPr>
              <w:pStyle w:val="Compact"/>
            </w:pPr>
            <w:r>
              <w:t xml:space="preserve">Constrained WLS</w:t>
            </w:r>
          </w:p>
        </w:tc>
        <w:tc>
          <w:tcPr/>
          <w:p>
            <w:pPr>
              <w:pStyle w:val="Compact"/>
              <w:jc w:val="right"/>
            </w:pPr>
            <w:r>
              <w:t xml:space="preserve">$1,121</w:t>
            </w:r>
          </w:p>
        </w:tc>
        <w:tc>
          <w:tcPr/>
          <w:p>
            <w:pPr>
              <w:pStyle w:val="Compact"/>
              <w:jc w:val="right"/>
            </w:pPr>
            <w:r>
              <w:t xml:space="preserve">$1,228</w:t>
            </w:r>
          </w:p>
        </w:tc>
        <w:tc>
          <w:tcPr/>
          <w:p>
            <w:pPr>
              <w:pStyle w:val="Compact"/>
              <w:jc w:val="right"/>
            </w:pPr>
            <w:r>
              <w:t xml:space="preserve">$333</w:t>
            </w:r>
          </w:p>
        </w:tc>
        <w:tc>
          <w:tcPr/>
          <w:p>
            <w:pPr>
              <w:pStyle w:val="Compact"/>
              <w:jc w:val="right"/>
            </w:pPr>
            <w:r>
              <w:t xml:space="preserve">$383</w:t>
            </w:r>
          </w:p>
        </w:tc>
        <w:tc>
          <w:tcPr/>
          <w:p>
            <w:pPr>
              <w:pStyle w:val="Compact"/>
              <w:jc w:val="right"/>
            </w:pPr>
            <w:r>
              <w:t xml:space="preserve">1.54%</w:t>
            </w:r>
          </w:p>
        </w:tc>
      </w:tr>
      <w:tr>
        <w:tc>
          <w:tcPr/>
          <w:p>
            <w:pPr>
              <w:pStyle w:val="Compact"/>
            </w:pPr>
            <w:r>
              <w:t xml:space="preserve">LightGBM (Tweedie)</w:t>
            </w:r>
          </w:p>
        </w:tc>
        <w:tc>
          <w:tcPr/>
          <w:p>
            <w:pPr>
              <w:pStyle w:val="Compact"/>
              <w:jc w:val="right"/>
            </w:pPr>
            <w:r>
              <w:t xml:space="preserve">$693</w:t>
            </w:r>
          </w:p>
        </w:tc>
        <w:tc>
          <w:tcPr/>
          <w:p>
            <w:pPr>
              <w:pStyle w:val="Compact"/>
              <w:jc w:val="right"/>
            </w:pPr>
            <w:r>
              <w:t xml:space="preserve">$755</w:t>
            </w:r>
          </w:p>
        </w:tc>
        <w:tc>
          <w:tcPr/>
          <w:p>
            <w:pPr>
              <w:pStyle w:val="Compact"/>
              <w:jc w:val="right"/>
            </w:pPr>
            <w:r>
              <w:t xml:space="preserve">$612</w:t>
            </w:r>
          </w:p>
        </w:tc>
        <w:tc>
          <w:tcPr/>
          <w:p>
            <w:pPr>
              <w:pStyle w:val="Compact"/>
              <w:jc w:val="right"/>
            </w:pPr>
            <w:r>
              <w:t xml:space="preserve">$596</w:t>
            </w:r>
          </w:p>
        </w:tc>
        <w:tc>
          <w:tcPr/>
          <w:p>
            <w:pPr>
              <w:pStyle w:val="Compact"/>
              <w:jc w:val="right"/>
            </w:pPr>
            <w:r>
              <w:t xml:space="preserve">0.92%</w:t>
            </w:r>
          </w:p>
        </w:tc>
      </w:tr>
      <w:tr>
        <w:tc>
          <w:tcPr/>
          <w:p>
            <w:pPr>
              <w:pStyle w:val="Compact"/>
            </w:pPr>
            <w:r>
              <w:t xml:space="preserve">LightGBM (squared error)</w:t>
            </w:r>
          </w:p>
        </w:tc>
        <w:tc>
          <w:tcPr/>
          <w:p>
            <w:pPr>
              <w:pStyle w:val="Compact"/>
              <w:jc w:val="right"/>
            </w:pPr>
            <w:r>
              <w:t xml:space="preserve">$755</w:t>
            </w:r>
          </w:p>
        </w:tc>
        <w:tc>
          <w:tcPr/>
          <w:p>
            <w:pPr>
              <w:pStyle w:val="Compact"/>
              <w:jc w:val="right"/>
            </w:pPr>
            <w:r>
              <w:t xml:space="preserve">$781</w:t>
            </w:r>
          </w:p>
        </w:tc>
        <w:tc>
          <w:tcPr/>
          <w:p>
            <w:pPr>
              <w:pStyle w:val="Compact"/>
              <w:jc w:val="right"/>
            </w:pPr>
            <w:r>
              <w:t xml:space="preserve">$719</w:t>
            </w:r>
          </w:p>
        </w:tc>
        <w:tc>
          <w:tcPr/>
          <w:p>
            <w:pPr>
              <w:pStyle w:val="Compact"/>
              <w:jc w:val="right"/>
            </w:pPr>
            <w:r>
              <w:t xml:space="preserve">$717</w:t>
            </w:r>
          </w:p>
        </w:tc>
        <w:tc>
          <w:tcPr/>
          <w:p>
            <w:pPr>
              <w:pStyle w:val="Compact"/>
              <w:jc w:val="right"/>
            </w:pPr>
            <w:r>
              <w:t xml:space="preserve">1.00%</w:t>
            </w:r>
          </w:p>
        </w:tc>
      </w:tr>
      <w:tr>
        <w:tc>
          <w:tcPr/>
          <w:p>
            <w:pPr>
              <w:pStyle w:val="Compact"/>
            </w:pPr>
            <w:r>
              <w:t xml:space="preserve">Tweedie GLM</w:t>
            </w:r>
          </w:p>
        </w:tc>
        <w:tc>
          <w:tcPr/>
          <w:p>
            <w:pPr>
              <w:pStyle w:val="Compact"/>
              <w:jc w:val="right"/>
            </w:pPr>
            <w:r>
              <w:t xml:space="preserve">$885</w:t>
            </w:r>
          </w:p>
        </w:tc>
        <w:tc>
          <w:tcPr/>
          <w:p>
            <w:pPr>
              <w:pStyle w:val="Compact"/>
              <w:jc w:val="right"/>
            </w:pPr>
            <w:r>
              <w:t xml:space="preserve">$889</w:t>
            </w:r>
          </w:p>
        </w:tc>
        <w:tc>
          <w:tcPr/>
          <w:p>
            <w:pPr>
              <w:pStyle w:val="Compact"/>
              <w:jc w:val="right"/>
            </w:pPr>
            <w:r>
              <w:t xml:space="preserve">$443</w:t>
            </w:r>
          </w:p>
        </w:tc>
        <w:tc>
          <w:tcPr/>
          <w:p>
            <w:pPr>
              <w:pStyle w:val="Compact"/>
              <w:jc w:val="right"/>
            </w:pPr>
            <w:r>
              <w:t xml:space="preserve">$358</w:t>
            </w:r>
          </w:p>
        </w:tc>
        <w:tc>
          <w:tcPr/>
          <w:p>
            <w:pPr>
              <w:pStyle w:val="Compact"/>
              <w:jc w:val="right"/>
            </w:pPr>
            <w:r>
              <w:t xml:space="preserve">1.16%</w:t>
            </w:r>
          </w:p>
        </w:tc>
      </w:tr>
      <w:tr>
        <w:tc>
          <w:tcPr/>
          <w:p>
            <w:pPr>
              <w:pStyle w:val="Compact"/>
            </w:pPr>
            <w:r>
              <w:t xml:space="preserve">Two-part</w:t>
            </w:r>
          </w:p>
        </w:tc>
        <w:tc>
          <w:tcPr/>
          <w:p>
            <w:pPr>
              <w:pStyle w:val="Compact"/>
              <w:jc w:val="right"/>
            </w:pPr>
            <w:r>
              <w:t xml:space="preserve">$1,307</w:t>
            </w:r>
          </w:p>
        </w:tc>
        <w:tc>
          <w:tcPr/>
          <w:p>
            <w:pPr>
              <w:pStyle w:val="Compact"/>
              <w:jc w:val="right"/>
            </w:pPr>
            <w:r>
              <w:t xml:space="preserve">$1,402</w:t>
            </w:r>
          </w:p>
        </w:tc>
        <w:tc>
          <w:tcPr/>
          <w:p>
            <w:pPr>
              <w:pStyle w:val="Compact"/>
              <w:jc w:val="right"/>
            </w:pPr>
            <w:r>
              <w:t xml:space="preserve">$827</w:t>
            </w:r>
          </w:p>
        </w:tc>
        <w:tc>
          <w:tcPr/>
          <w:p>
            <w:pPr>
              <w:pStyle w:val="Compact"/>
              <w:jc w:val="right"/>
            </w:pPr>
            <w:r>
              <w:t xml:space="preserve">$842</w:t>
            </w:r>
          </w:p>
        </w:tc>
        <w:tc>
          <w:tcPr/>
          <w:p>
            <w:pPr>
              <w:pStyle w:val="Compact"/>
              <w:jc w:val="right"/>
            </w:pPr>
            <w:r>
              <w:t xml:space="preserve">1.73%</w:t>
            </w:r>
          </w:p>
        </w:tc>
      </w:tr>
      <w:tr>
        <w:tc>
          <w:tcPr/>
          <w:p>
            <w:pPr>
              <w:pStyle w:val="Compact"/>
            </w:pPr>
            <w:r>
              <w:t xml:space="preserve">WLS</w:t>
            </w:r>
          </w:p>
        </w:tc>
        <w:tc>
          <w:tcPr/>
          <w:p>
            <w:pPr>
              <w:pStyle w:val="Compact"/>
              <w:jc w:val="right"/>
            </w:pPr>
            <w:r>
              <w:t xml:space="preserve">$1,292</w:t>
            </w:r>
          </w:p>
        </w:tc>
        <w:tc>
          <w:tcPr/>
          <w:p>
            <w:pPr>
              <w:pStyle w:val="Compact"/>
              <w:jc w:val="right"/>
            </w:pPr>
            <w:r>
              <w:t xml:space="preserve">$1,368</w:t>
            </w:r>
          </w:p>
        </w:tc>
        <w:tc>
          <w:tcPr/>
          <w:p>
            <w:pPr>
              <w:pStyle w:val="Compact"/>
              <w:jc w:val="right"/>
            </w:pPr>
            <w:r>
              <w:t xml:space="preserve">$395</w:t>
            </w:r>
          </w:p>
        </w:tc>
        <w:tc>
          <w:tcPr/>
          <w:p>
            <w:pPr>
              <w:pStyle w:val="Compact"/>
              <w:jc w:val="right"/>
            </w:pPr>
            <w:r>
              <w:t xml:space="preserve">$393</w:t>
            </w:r>
          </w:p>
        </w:tc>
        <w:tc>
          <w:tcPr/>
          <w:p>
            <w:pPr>
              <w:pStyle w:val="Compact"/>
              <w:jc w:val="right"/>
            </w:pPr>
            <w:r>
              <w:t xml:space="preserve">1.71%</w:t>
            </w:r>
          </w:p>
        </w:tc>
      </w:tr>
    </w:tbl>
    <w:p>
      <w:pPr>
        <w:pStyle w:val="BodyText"/>
      </w:pPr>
      <w:r>
        <w:rPr>
          <w:b/>
          <w:bCs/>
        </w:rPr>
        <w:t xml:space="preserve">Table 8.</w:t>
      </w:r>
      <w:r>
        <w:t xml:space="preserve"> </w:t>
      </w:r>
      <w:r>
        <w:t xml:space="preserve">Robustness: each row changes one decision.</w:t>
      </w:r>
    </w:p>
    <w:p>
      <w:pPr>
        <w:pStyle w:val="BodyText"/>
      </w:pPr>
      <w:r>
        <w:rPr>
          <w:i/>
          <w:iCs/>
        </w:rPr>
        <w:t xml:space="preserve">One repeat of the survey folds. Max |NC| is over the three target groups.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Variant</w:t>
            </w:r>
          </w:p>
        </w:tc>
        <w:tc>
          <w:tcPr/>
          <w:p>
            <w:pPr>
              <w:pStyle w:val="Compact"/>
              <w:jc w:val="right"/>
            </w:pPr>
            <w:r>
              <w:t xml:space="preserve">Model</w:t>
            </w:r>
          </w:p>
        </w:tc>
        <w:tc>
          <w:tcPr/>
          <w:p>
            <w:pPr>
              <w:pStyle w:val="Compact"/>
              <w:jc w:val="right"/>
            </w:pPr>
            <w:r>
              <w:t xml:space="preserve">n</w:t>
            </w:r>
          </w:p>
        </w:tc>
        <w:tc>
          <w:tcPr/>
          <w:p>
            <w:pPr>
              <w:pStyle w:val="Compact"/>
              <w:jc w:val="right"/>
            </w:pPr>
            <w:r>
              <w:t xml:space="preserve">R²</w:t>
            </w:r>
          </w:p>
        </w:tc>
        <w:tc>
          <w:tcPr/>
          <w:p>
            <w:pPr>
              <w:pStyle w:val="Compact"/>
              <w:jc w:val="right"/>
            </w:pPr>
            <w:r>
              <w:t xml:space="preserve">CPM</w:t>
            </w:r>
          </w:p>
        </w:tc>
        <w:tc>
          <w:tcPr/>
          <w:p>
            <w:pPr>
              <w:pStyle w:val="Compact"/>
              <w:jc w:val="right"/>
            </w:pPr>
            <w:r>
              <w:t xml:space="preserve">PR top decile</w:t>
            </w:r>
          </w:p>
        </w:tc>
        <w:tc>
          <w:tcPr/>
          <w:p>
            <w:pPr>
              <w:pStyle w:val="Compact"/>
              <w:jc w:val="right"/>
            </w:pPr>
            <w:r>
              <w:t xml:space="preserve">Max</w:t>
            </w:r>
          </w:p>
        </w:tc>
      </w:tr>
      <w:tr>
        <w:tc>
          <w:tcPr/>
          <w:p>
            <w:pPr>
              <w:pStyle w:val="Compact"/>
            </w:pPr>
            <w:r>
              <w:t xml:space="preserve">baseline</w:t>
            </w:r>
          </w:p>
        </w:tc>
        <w:tc>
          <w:tcPr/>
          <w:p>
            <w:pPr>
              <w:pStyle w:val="Compact"/>
              <w:jc w:val="right"/>
            </w:pPr>
            <w:r>
              <w:t xml:space="preserve">WLS</w:t>
            </w:r>
          </w:p>
        </w:tc>
        <w:tc>
          <w:tcPr/>
          <w:p>
            <w:pPr>
              <w:pStyle w:val="Compact"/>
              <w:jc w:val="right"/>
            </w:pPr>
            <w:r>
              <w:t xml:space="preserve">43,568</w:t>
            </w:r>
          </w:p>
        </w:tc>
        <w:tc>
          <w:tcPr/>
          <w:p>
            <w:pPr>
              <w:pStyle w:val="Compact"/>
              <w:jc w:val="right"/>
            </w:pPr>
            <w:r>
              <w:t xml:space="preserve">0.124</w:t>
            </w:r>
          </w:p>
        </w:tc>
        <w:tc>
          <w:tcPr/>
          <w:p>
            <w:pPr>
              <w:pStyle w:val="Compact"/>
              <w:jc w:val="right"/>
            </w:pPr>
            <w:r>
              <w:t xml:space="preserve">0.149</w:t>
            </w:r>
          </w:p>
        </w:tc>
        <w:tc>
          <w:tcPr/>
          <w:p>
            <w:pPr>
              <w:pStyle w:val="Compact"/>
              <w:jc w:val="right"/>
            </w:pPr>
            <w:r>
              <w:t xml:space="preserve">0.94</w:t>
            </w:r>
          </w:p>
        </w:tc>
        <w:tc>
          <w:tcPr/>
          <w:p>
            <w:pPr>
              <w:pStyle w:val="Compact"/>
              <w:jc w:val="right"/>
            </w:pPr>
            <w:r>
              <w:t xml:space="preserve">$7,887</w:t>
            </w:r>
          </w:p>
        </w:tc>
      </w:tr>
      <w:tr>
        <w:tc>
          <w:tcPr/>
          <w:p>
            <w:pPr>
              <w:pStyle w:val="Compact"/>
            </w:pPr>
            <w:r>
              <w:t xml:space="preserve">baseline</w:t>
            </w:r>
          </w:p>
        </w:tc>
        <w:tc>
          <w:tcPr/>
          <w:p>
            <w:pPr>
              <w:pStyle w:val="Compact"/>
              <w:jc w:val="right"/>
            </w:pPr>
            <w:r>
              <w:t xml:space="preserve">Tweedie GLM</w:t>
            </w:r>
          </w:p>
        </w:tc>
        <w:tc>
          <w:tcPr/>
          <w:p>
            <w:pPr>
              <w:pStyle w:val="Compact"/>
              <w:jc w:val="right"/>
            </w:pPr>
            <w:r>
              <w:t xml:space="preserve">43,568</w:t>
            </w:r>
          </w:p>
        </w:tc>
        <w:tc>
          <w:tcPr/>
          <w:p>
            <w:pPr>
              <w:pStyle w:val="Compact"/>
              <w:jc w:val="right"/>
            </w:pPr>
            <w:r>
              <w:t xml:space="preserve">0.125</w:t>
            </w:r>
          </w:p>
        </w:tc>
        <w:tc>
          <w:tcPr/>
          <w:p>
            <w:pPr>
              <w:pStyle w:val="Compact"/>
              <w:jc w:val="right"/>
            </w:pPr>
            <w:r>
              <w:t xml:space="preserve">0.243</w:t>
            </w:r>
          </w:p>
        </w:tc>
        <w:tc>
          <w:tcPr/>
          <w:p>
            <w:pPr>
              <w:pStyle w:val="Compact"/>
              <w:jc w:val="right"/>
            </w:pPr>
            <w:r>
              <w:t xml:space="preserve">1.00</w:t>
            </w:r>
          </w:p>
        </w:tc>
        <w:tc>
          <w:tcPr/>
          <w:p>
            <w:pPr>
              <w:pStyle w:val="Compact"/>
              <w:jc w:val="right"/>
            </w:pPr>
            <w:r>
              <w:t xml:space="preserve">$5,011</w:t>
            </w:r>
          </w:p>
        </w:tc>
      </w:tr>
      <w:tr>
        <w:tc>
          <w:tcPr/>
          <w:p>
            <w:pPr>
              <w:pStyle w:val="Compact"/>
            </w:pPr>
            <w:r>
              <w:t xml:space="preserve">baseline</w:t>
            </w:r>
          </w:p>
        </w:tc>
        <w:tc>
          <w:tcPr/>
          <w:p>
            <w:pPr>
              <w:pStyle w:val="Compact"/>
              <w:jc w:val="right"/>
            </w:pPr>
            <w:r>
              <w:t xml:space="preserve">LightGBM (Tweedie)</w:t>
            </w:r>
          </w:p>
        </w:tc>
        <w:tc>
          <w:tcPr/>
          <w:p>
            <w:pPr>
              <w:pStyle w:val="Compact"/>
              <w:jc w:val="right"/>
            </w:pPr>
            <w:r>
              <w:t xml:space="preserve">43,568</w:t>
            </w:r>
          </w:p>
        </w:tc>
        <w:tc>
          <w:tcPr/>
          <w:p>
            <w:pPr>
              <w:pStyle w:val="Compact"/>
              <w:jc w:val="right"/>
            </w:pPr>
            <w:r>
              <w:t xml:space="preserve">0.195</w:t>
            </w:r>
          </w:p>
        </w:tc>
        <w:tc>
          <w:tcPr/>
          <w:p>
            <w:pPr>
              <w:pStyle w:val="Compact"/>
              <w:jc w:val="right"/>
            </w:pPr>
            <w:r>
              <w:t xml:space="preserve">0.277</w:t>
            </w:r>
          </w:p>
        </w:tc>
        <w:tc>
          <w:tcPr/>
          <w:p>
            <w:pPr>
              <w:pStyle w:val="Compact"/>
              <w:jc w:val="right"/>
            </w:pPr>
            <w:r>
              <w:t xml:space="preserve">0.99</w:t>
            </w:r>
          </w:p>
        </w:tc>
        <w:tc>
          <w:tcPr/>
          <w:p>
            <w:pPr>
              <w:pStyle w:val="Compact"/>
              <w:jc w:val="right"/>
            </w:pPr>
            <w:r>
              <w:t xml:space="preserve">$5,864</w:t>
            </w:r>
          </w:p>
        </w:tc>
      </w:tr>
      <w:tr>
        <w:tc>
          <w:tcPr/>
          <w:p>
            <w:pPr>
              <w:pStyle w:val="Compact"/>
            </w:pPr>
            <w:r>
              <w:t xml:space="preserve">outcome capped</w:t>
            </w:r>
          </w:p>
        </w:tc>
        <w:tc>
          <w:tcPr/>
          <w:p>
            <w:pPr>
              <w:pStyle w:val="Compact"/>
              <w:jc w:val="right"/>
            </w:pPr>
            <w:r>
              <w:t xml:space="preserve">WLS</w:t>
            </w:r>
          </w:p>
        </w:tc>
        <w:tc>
          <w:tcPr/>
          <w:p>
            <w:pPr>
              <w:pStyle w:val="Compact"/>
              <w:jc w:val="right"/>
            </w:pPr>
            <w:r>
              <w:t xml:space="preserve">43,568</w:t>
            </w:r>
          </w:p>
        </w:tc>
        <w:tc>
          <w:tcPr/>
          <w:p>
            <w:pPr>
              <w:pStyle w:val="Compact"/>
              <w:jc w:val="right"/>
            </w:pPr>
            <w:r>
              <w:t xml:space="preserve">0.189</w:t>
            </w:r>
          </w:p>
        </w:tc>
        <w:tc>
          <w:tcPr/>
          <w:p>
            <w:pPr>
              <w:pStyle w:val="Compact"/>
              <w:jc w:val="right"/>
            </w:pPr>
            <w:r>
              <w:t xml:space="preserve">0.173</w:t>
            </w:r>
          </w:p>
        </w:tc>
        <w:tc>
          <w:tcPr/>
          <w:p>
            <w:pPr>
              <w:pStyle w:val="Compact"/>
              <w:jc w:val="right"/>
            </w:pPr>
            <w:r>
              <w:t xml:space="preserve">0.93</w:t>
            </w:r>
          </w:p>
        </w:tc>
        <w:tc>
          <w:tcPr/>
          <w:p>
            <w:pPr>
              <w:pStyle w:val="Compact"/>
              <w:jc w:val="right"/>
            </w:pPr>
            <w:r>
              <w:t xml:space="preserve">$6,699</w:t>
            </w:r>
          </w:p>
        </w:tc>
      </w:tr>
      <w:tr>
        <w:tc>
          <w:tcPr/>
          <w:p>
            <w:pPr>
              <w:pStyle w:val="Compact"/>
            </w:pPr>
            <w:r>
              <w:t xml:space="preserve">outcome capped</w:t>
            </w:r>
          </w:p>
        </w:tc>
        <w:tc>
          <w:tcPr/>
          <w:p>
            <w:pPr>
              <w:pStyle w:val="Compact"/>
              <w:jc w:val="right"/>
            </w:pPr>
            <w:r>
              <w:t xml:space="preserve">Tweedie GLM</w:t>
            </w:r>
          </w:p>
        </w:tc>
        <w:tc>
          <w:tcPr/>
          <w:p>
            <w:pPr>
              <w:pStyle w:val="Compact"/>
              <w:jc w:val="right"/>
            </w:pPr>
            <w:r>
              <w:t xml:space="preserve">43,568</w:t>
            </w:r>
          </w:p>
        </w:tc>
        <w:tc>
          <w:tcPr/>
          <w:p>
            <w:pPr>
              <w:pStyle w:val="Compact"/>
              <w:jc w:val="right"/>
            </w:pPr>
            <w:r>
              <w:t xml:space="preserve">0.194</w:t>
            </w:r>
          </w:p>
        </w:tc>
        <w:tc>
          <w:tcPr/>
          <w:p>
            <w:pPr>
              <w:pStyle w:val="Compact"/>
              <w:jc w:val="right"/>
            </w:pPr>
            <w:r>
              <w:t xml:space="preserve">0.250</w:t>
            </w:r>
          </w:p>
        </w:tc>
        <w:tc>
          <w:tcPr/>
          <w:p>
            <w:pPr>
              <w:pStyle w:val="Compact"/>
              <w:jc w:val="right"/>
            </w:pPr>
            <w:r>
              <w:t xml:space="preserve">1.00</w:t>
            </w:r>
          </w:p>
        </w:tc>
        <w:tc>
          <w:tcPr/>
          <w:p>
            <w:pPr>
              <w:pStyle w:val="Compact"/>
              <w:jc w:val="right"/>
            </w:pPr>
            <w:r>
              <w:t xml:space="preserve">$4,034</w:t>
            </w:r>
          </w:p>
        </w:tc>
      </w:tr>
      <w:tr>
        <w:tc>
          <w:tcPr/>
          <w:p>
            <w:pPr>
              <w:pStyle w:val="Compact"/>
            </w:pPr>
            <w:r>
              <w:t xml:space="preserve">outcome capped</w:t>
            </w:r>
          </w:p>
        </w:tc>
        <w:tc>
          <w:tcPr/>
          <w:p>
            <w:pPr>
              <w:pStyle w:val="Compact"/>
              <w:jc w:val="right"/>
            </w:pPr>
            <w:r>
              <w:t xml:space="preserve">LightGBM (Tweedie)</w:t>
            </w:r>
          </w:p>
        </w:tc>
        <w:tc>
          <w:tcPr/>
          <w:p>
            <w:pPr>
              <w:pStyle w:val="Compact"/>
              <w:jc w:val="right"/>
            </w:pPr>
            <w:r>
              <w:t xml:space="preserve">43,568</w:t>
            </w:r>
          </w:p>
        </w:tc>
        <w:tc>
          <w:tcPr/>
          <w:p>
            <w:pPr>
              <w:pStyle w:val="Compact"/>
              <w:jc w:val="right"/>
            </w:pPr>
            <w:r>
              <w:t xml:space="preserve">0.282</w:t>
            </w:r>
          </w:p>
        </w:tc>
        <w:tc>
          <w:tcPr/>
          <w:p>
            <w:pPr>
              <w:pStyle w:val="Compact"/>
              <w:jc w:val="right"/>
            </w:pPr>
            <w:r>
              <w:t xml:space="preserve">0.284</w:t>
            </w:r>
          </w:p>
        </w:tc>
        <w:tc>
          <w:tcPr/>
          <w:p>
            <w:pPr>
              <w:pStyle w:val="Compact"/>
              <w:jc w:val="right"/>
            </w:pPr>
            <w:r>
              <w:t xml:space="preserve">1.00</w:t>
            </w:r>
          </w:p>
        </w:tc>
        <w:tc>
          <w:tcPr/>
          <w:p>
            <w:pPr>
              <w:pStyle w:val="Compact"/>
              <w:jc w:val="right"/>
            </w:pPr>
            <w:r>
              <w:t xml:space="preserve">$4,558</w:t>
            </w:r>
          </w:p>
        </w:tc>
      </w:tr>
      <w:tr>
        <w:tc>
          <w:tcPr/>
          <w:p>
            <w:pPr>
              <w:pStyle w:val="Compact"/>
            </w:pPr>
            <w:r>
              <w:t xml:space="preserve">log outcome</w:t>
            </w:r>
          </w:p>
        </w:tc>
        <w:tc>
          <w:tcPr/>
          <w:p>
            <w:pPr>
              <w:pStyle w:val="Compact"/>
              <w:jc w:val="right"/>
            </w:pPr>
            <w:r>
              <w:t xml:space="preserve">WLS, log outcome</w:t>
            </w:r>
          </w:p>
        </w:tc>
        <w:tc>
          <w:tcPr/>
          <w:p>
            <w:pPr>
              <w:pStyle w:val="Compact"/>
              <w:jc w:val="right"/>
            </w:pPr>
            <w:r>
              <w:t xml:space="preserve">43,568</w:t>
            </w:r>
          </w:p>
        </w:tc>
        <w:tc>
          <w:tcPr/>
          <w:p>
            <w:pPr>
              <w:pStyle w:val="Compact"/>
              <w:jc w:val="right"/>
            </w:pPr>
            <w:r>
              <w:t xml:space="preserve">-0.105</w:t>
            </w:r>
          </w:p>
        </w:tc>
        <w:tc>
          <w:tcPr/>
          <w:p>
            <w:pPr>
              <w:pStyle w:val="Compact"/>
              <w:jc w:val="right"/>
            </w:pPr>
            <w:r>
              <w:t xml:space="preserve">0.195</w:t>
            </w:r>
          </w:p>
        </w:tc>
        <w:tc>
          <w:tcPr/>
          <w:p>
            <w:pPr>
              <w:pStyle w:val="Compact"/>
              <w:jc w:val="right"/>
            </w:pPr>
            <w:r>
              <w:t xml:space="preserve">1.64</w:t>
            </w:r>
          </w:p>
        </w:tc>
        <w:tc>
          <w:tcPr/>
          <w:p>
            <w:pPr>
              <w:pStyle w:val="Compact"/>
              <w:jc w:val="right"/>
            </w:pPr>
            <w:r>
              <w:t xml:space="preserve">$6,407</w:t>
            </w:r>
          </w:p>
        </w:tc>
      </w:tr>
      <w:tr>
        <w:tc>
          <w:tcPr/>
          <w:p>
            <w:pPr>
              <w:pStyle w:val="Compact"/>
            </w:pPr>
            <w:r>
              <w:t xml:space="preserve">unweighted training</w:t>
            </w:r>
          </w:p>
        </w:tc>
        <w:tc>
          <w:tcPr/>
          <w:p>
            <w:pPr>
              <w:pStyle w:val="Compact"/>
              <w:jc w:val="right"/>
            </w:pPr>
            <w:r>
              <w:t xml:space="preserve">WLS</w:t>
            </w:r>
          </w:p>
        </w:tc>
        <w:tc>
          <w:tcPr/>
          <w:p>
            <w:pPr>
              <w:pStyle w:val="Compact"/>
              <w:jc w:val="right"/>
            </w:pPr>
            <w:r>
              <w:t xml:space="preserve">43,568</w:t>
            </w:r>
          </w:p>
        </w:tc>
        <w:tc>
          <w:tcPr/>
          <w:p>
            <w:pPr>
              <w:pStyle w:val="Compact"/>
              <w:jc w:val="right"/>
            </w:pPr>
            <w:r>
              <w:t xml:space="preserve">0.127</w:t>
            </w:r>
          </w:p>
        </w:tc>
        <w:tc>
          <w:tcPr/>
          <w:p>
            <w:pPr>
              <w:pStyle w:val="Compact"/>
              <w:jc w:val="right"/>
            </w:pPr>
            <w:r>
              <w:t xml:space="preserve">0.149</w:t>
            </w:r>
          </w:p>
        </w:tc>
        <w:tc>
          <w:tcPr/>
          <w:p>
            <w:pPr>
              <w:pStyle w:val="Compact"/>
              <w:jc w:val="right"/>
            </w:pPr>
            <w:r>
              <w:t xml:space="preserve">0.91</w:t>
            </w:r>
          </w:p>
        </w:tc>
        <w:tc>
          <w:tcPr/>
          <w:p>
            <w:pPr>
              <w:pStyle w:val="Compact"/>
              <w:jc w:val="right"/>
            </w:pPr>
            <w:r>
              <w:t xml:space="preserve">$7,806</w:t>
            </w:r>
          </w:p>
        </w:tc>
      </w:tr>
      <w:tr>
        <w:tc>
          <w:tcPr/>
          <w:p>
            <w:pPr>
              <w:pStyle w:val="Compact"/>
            </w:pPr>
            <w:r>
              <w:t xml:space="preserve">unweighted training</w:t>
            </w:r>
          </w:p>
        </w:tc>
        <w:tc>
          <w:tcPr/>
          <w:p>
            <w:pPr>
              <w:pStyle w:val="Compact"/>
              <w:jc w:val="right"/>
            </w:pPr>
            <w:r>
              <w:t xml:space="preserve">Tweedie GLM</w:t>
            </w:r>
          </w:p>
        </w:tc>
        <w:tc>
          <w:tcPr/>
          <w:p>
            <w:pPr>
              <w:pStyle w:val="Compact"/>
              <w:jc w:val="right"/>
            </w:pPr>
            <w:r>
              <w:t xml:space="preserve">43,568</w:t>
            </w:r>
          </w:p>
        </w:tc>
        <w:tc>
          <w:tcPr/>
          <w:p>
            <w:pPr>
              <w:pStyle w:val="Compact"/>
              <w:jc w:val="right"/>
            </w:pPr>
            <w:r>
              <w:t xml:space="preserve">0.144</w:t>
            </w:r>
          </w:p>
        </w:tc>
        <w:tc>
          <w:tcPr/>
          <w:p>
            <w:pPr>
              <w:pStyle w:val="Compact"/>
              <w:jc w:val="right"/>
            </w:pPr>
            <w:r>
              <w:t xml:space="preserve">0.257</w:t>
            </w:r>
          </w:p>
        </w:tc>
        <w:tc>
          <w:tcPr/>
          <w:p>
            <w:pPr>
              <w:pStyle w:val="Compact"/>
              <w:jc w:val="right"/>
            </w:pPr>
            <w:r>
              <w:t xml:space="preserve">0.97</w:t>
            </w:r>
          </w:p>
        </w:tc>
        <w:tc>
          <w:tcPr/>
          <w:p>
            <w:pPr>
              <w:pStyle w:val="Compact"/>
              <w:jc w:val="right"/>
            </w:pPr>
            <w:r>
              <w:t xml:space="preserve">$5,223</w:t>
            </w:r>
          </w:p>
        </w:tc>
      </w:tr>
      <w:tr>
        <w:tc>
          <w:tcPr/>
          <w:p>
            <w:pPr>
              <w:pStyle w:val="Compact"/>
            </w:pPr>
            <w:r>
              <w:t xml:space="preserve">unweighted training</w:t>
            </w:r>
          </w:p>
        </w:tc>
        <w:tc>
          <w:tcPr/>
          <w:p>
            <w:pPr>
              <w:pStyle w:val="Compact"/>
              <w:jc w:val="right"/>
            </w:pPr>
            <w:r>
              <w:t xml:space="preserve">LightGBM (Tweedie)</w:t>
            </w:r>
          </w:p>
        </w:tc>
        <w:tc>
          <w:tcPr/>
          <w:p>
            <w:pPr>
              <w:pStyle w:val="Compact"/>
              <w:jc w:val="right"/>
            </w:pPr>
            <w:r>
              <w:t xml:space="preserve">43,568</w:t>
            </w:r>
          </w:p>
        </w:tc>
        <w:tc>
          <w:tcPr/>
          <w:p>
            <w:pPr>
              <w:pStyle w:val="Compact"/>
              <w:jc w:val="right"/>
            </w:pPr>
            <w:r>
              <w:t xml:space="preserve">0.196</w:t>
            </w:r>
          </w:p>
        </w:tc>
        <w:tc>
          <w:tcPr/>
          <w:p>
            <w:pPr>
              <w:pStyle w:val="Compact"/>
              <w:jc w:val="right"/>
            </w:pPr>
            <w:r>
              <w:t xml:space="preserve">0.283</w:t>
            </w:r>
          </w:p>
        </w:tc>
        <w:tc>
          <w:tcPr/>
          <w:p>
            <w:pPr>
              <w:pStyle w:val="Compact"/>
              <w:jc w:val="right"/>
            </w:pPr>
            <w:r>
              <w:t xml:space="preserve">0.99</w:t>
            </w:r>
          </w:p>
        </w:tc>
        <w:tc>
          <w:tcPr/>
          <w:p>
            <w:pPr>
              <w:pStyle w:val="Compact"/>
              <w:jc w:val="right"/>
            </w:pPr>
            <w:r>
              <w:t xml:space="preserve">$5,356</w:t>
            </w:r>
          </w:p>
        </w:tc>
      </w:tr>
      <w:tr>
        <w:tc>
          <w:tcPr/>
          <w:p>
            <w:pPr>
              <w:pStyle w:val="Compact"/>
            </w:pPr>
            <w:r>
              <w:t xml:space="preserve">CCSR floor 0.2%</w:t>
            </w:r>
          </w:p>
        </w:tc>
        <w:tc>
          <w:tcPr/>
          <w:p>
            <w:pPr>
              <w:pStyle w:val="Compact"/>
              <w:jc w:val="right"/>
            </w:pPr>
            <w:r>
              <w:t xml:space="preserve">WLS</w:t>
            </w:r>
          </w:p>
        </w:tc>
        <w:tc>
          <w:tcPr/>
          <w:p>
            <w:pPr>
              <w:pStyle w:val="Compact"/>
              <w:jc w:val="right"/>
            </w:pPr>
            <w:r>
              <w:t xml:space="preserve">43,568</w:t>
            </w:r>
          </w:p>
        </w:tc>
        <w:tc>
          <w:tcPr/>
          <w:p>
            <w:pPr>
              <w:pStyle w:val="Compact"/>
              <w:jc w:val="right"/>
            </w:pPr>
            <w:r>
              <w:t xml:space="preserve">0.125</w:t>
            </w:r>
          </w:p>
        </w:tc>
        <w:tc>
          <w:tcPr/>
          <w:p>
            <w:pPr>
              <w:pStyle w:val="Compact"/>
              <w:jc w:val="right"/>
            </w:pPr>
            <w:r>
              <w:t xml:space="preserve">0.155</w:t>
            </w:r>
          </w:p>
        </w:tc>
        <w:tc>
          <w:tcPr/>
          <w:p>
            <w:pPr>
              <w:pStyle w:val="Compact"/>
              <w:jc w:val="right"/>
            </w:pPr>
            <w:r>
              <w:t xml:space="preserve">1.00</w:t>
            </w:r>
          </w:p>
        </w:tc>
        <w:tc>
          <w:tcPr/>
          <w:p>
            <w:pPr>
              <w:pStyle w:val="Compact"/>
              <w:jc w:val="right"/>
            </w:pPr>
            <w:r>
              <w:t xml:space="preserve">$7,369</w:t>
            </w:r>
          </w:p>
        </w:tc>
      </w:tr>
      <w:tr>
        <w:tc>
          <w:tcPr/>
          <w:p>
            <w:pPr>
              <w:pStyle w:val="Compact"/>
            </w:pPr>
            <w:r>
              <w:t xml:space="preserve">CCSR floor 0.2%</w:t>
            </w:r>
          </w:p>
        </w:tc>
        <w:tc>
          <w:tcPr/>
          <w:p>
            <w:pPr>
              <w:pStyle w:val="Compact"/>
              <w:jc w:val="right"/>
            </w:pPr>
            <w:r>
              <w:t xml:space="preserve">Tweedie GLM</w:t>
            </w:r>
          </w:p>
        </w:tc>
        <w:tc>
          <w:tcPr/>
          <w:p>
            <w:pPr>
              <w:pStyle w:val="Compact"/>
              <w:jc w:val="right"/>
            </w:pPr>
            <w:r>
              <w:t xml:space="preserve">43,568</w:t>
            </w:r>
          </w:p>
        </w:tc>
        <w:tc>
          <w:tcPr/>
          <w:p>
            <w:pPr>
              <w:pStyle w:val="Compact"/>
              <w:jc w:val="right"/>
            </w:pPr>
            <w:r>
              <w:t xml:space="preserve">0.125</w:t>
            </w:r>
          </w:p>
        </w:tc>
        <w:tc>
          <w:tcPr/>
          <w:p>
            <w:pPr>
              <w:pStyle w:val="Compact"/>
              <w:jc w:val="right"/>
            </w:pPr>
            <w:r>
              <w:t xml:space="preserve">0.247</w:t>
            </w:r>
          </w:p>
        </w:tc>
        <w:tc>
          <w:tcPr/>
          <w:p>
            <w:pPr>
              <w:pStyle w:val="Compact"/>
              <w:jc w:val="right"/>
            </w:pPr>
            <w:r>
              <w:t xml:space="preserve">1.02</w:t>
            </w:r>
          </w:p>
        </w:tc>
        <w:tc>
          <w:tcPr/>
          <w:p>
            <w:pPr>
              <w:pStyle w:val="Compact"/>
              <w:jc w:val="right"/>
            </w:pPr>
            <w:r>
              <w:t xml:space="preserve">$4,531</w:t>
            </w:r>
          </w:p>
        </w:tc>
      </w:tr>
      <w:tr>
        <w:tc>
          <w:tcPr/>
          <w:p>
            <w:pPr>
              <w:pStyle w:val="Compact"/>
            </w:pPr>
            <w:r>
              <w:t xml:space="preserve">CCSR floor 0.2%</w:t>
            </w:r>
          </w:p>
        </w:tc>
        <w:tc>
          <w:tcPr/>
          <w:p>
            <w:pPr>
              <w:pStyle w:val="Compact"/>
              <w:jc w:val="right"/>
            </w:pPr>
            <w:r>
              <w:t xml:space="preserve">LightGBM (Tweedie)</w:t>
            </w:r>
          </w:p>
        </w:tc>
        <w:tc>
          <w:tcPr/>
          <w:p>
            <w:pPr>
              <w:pStyle w:val="Compact"/>
              <w:jc w:val="right"/>
            </w:pPr>
            <w:r>
              <w:t xml:space="preserve">43,568</w:t>
            </w:r>
          </w:p>
        </w:tc>
        <w:tc>
          <w:tcPr/>
          <w:p>
            <w:pPr>
              <w:pStyle w:val="Compact"/>
              <w:jc w:val="right"/>
            </w:pPr>
            <w:r>
              <w:t xml:space="preserve">0.197</w:t>
            </w:r>
          </w:p>
        </w:tc>
        <w:tc>
          <w:tcPr/>
          <w:p>
            <w:pPr>
              <w:pStyle w:val="Compact"/>
              <w:jc w:val="right"/>
            </w:pPr>
            <w:r>
              <w:t xml:space="preserve">0.280</w:t>
            </w:r>
          </w:p>
        </w:tc>
        <w:tc>
          <w:tcPr/>
          <w:p>
            <w:pPr>
              <w:pStyle w:val="Compact"/>
              <w:jc w:val="right"/>
            </w:pPr>
            <w:r>
              <w:t xml:space="preserve">0.99</w:t>
            </w:r>
          </w:p>
        </w:tc>
        <w:tc>
          <w:tcPr/>
          <w:p>
            <w:pPr>
              <w:pStyle w:val="Compact"/>
              <w:jc w:val="right"/>
            </w:pPr>
            <w:r>
              <w:t xml:space="preserve">$5,685</w:t>
            </w:r>
          </w:p>
        </w:tc>
      </w:tr>
      <w:tr>
        <w:tc>
          <w:tcPr/>
          <w:p>
            <w:pPr>
              <w:pStyle w:val="Compact"/>
            </w:pPr>
            <w:r>
              <w:t xml:space="preserve">CCSR floor 1%</w:t>
            </w:r>
          </w:p>
        </w:tc>
        <w:tc>
          <w:tcPr/>
          <w:p>
            <w:pPr>
              <w:pStyle w:val="Compact"/>
              <w:jc w:val="right"/>
            </w:pPr>
            <w:r>
              <w:t xml:space="preserve">WLS</w:t>
            </w:r>
          </w:p>
        </w:tc>
        <w:tc>
          <w:tcPr/>
          <w:p>
            <w:pPr>
              <w:pStyle w:val="Compact"/>
              <w:jc w:val="right"/>
            </w:pPr>
            <w:r>
              <w:t xml:space="preserve">43,568</w:t>
            </w:r>
          </w:p>
        </w:tc>
        <w:tc>
          <w:tcPr/>
          <w:p>
            <w:pPr>
              <w:pStyle w:val="Compact"/>
              <w:jc w:val="right"/>
            </w:pPr>
            <w:r>
              <w:t xml:space="preserve">0.124</w:t>
            </w:r>
          </w:p>
        </w:tc>
        <w:tc>
          <w:tcPr/>
          <w:p>
            <w:pPr>
              <w:pStyle w:val="Compact"/>
              <w:jc w:val="right"/>
            </w:pPr>
            <w:r>
              <w:t xml:space="preserve">0.150</w:t>
            </w:r>
          </w:p>
        </w:tc>
        <w:tc>
          <w:tcPr/>
          <w:p>
            <w:pPr>
              <w:pStyle w:val="Compact"/>
              <w:jc w:val="right"/>
            </w:pPr>
            <w:r>
              <w:t xml:space="preserve">0.90</w:t>
            </w:r>
          </w:p>
        </w:tc>
        <w:tc>
          <w:tcPr/>
          <w:p>
            <w:pPr>
              <w:pStyle w:val="Compact"/>
              <w:jc w:val="right"/>
            </w:pPr>
            <w:r>
              <w:t xml:space="preserve">$8,668</w:t>
            </w:r>
          </w:p>
        </w:tc>
      </w:tr>
      <w:tr>
        <w:tc>
          <w:tcPr/>
          <w:p>
            <w:pPr>
              <w:pStyle w:val="Compact"/>
            </w:pPr>
            <w:r>
              <w:t xml:space="preserve">CCSR floor 1%</w:t>
            </w:r>
          </w:p>
        </w:tc>
        <w:tc>
          <w:tcPr/>
          <w:p>
            <w:pPr>
              <w:pStyle w:val="Compact"/>
              <w:jc w:val="right"/>
            </w:pPr>
            <w:r>
              <w:t xml:space="preserve">Tweedie GLM</w:t>
            </w:r>
          </w:p>
        </w:tc>
        <w:tc>
          <w:tcPr/>
          <w:p>
            <w:pPr>
              <w:pStyle w:val="Compact"/>
              <w:jc w:val="right"/>
            </w:pPr>
            <w:r>
              <w:t xml:space="preserve">43,568</w:t>
            </w:r>
          </w:p>
        </w:tc>
        <w:tc>
          <w:tcPr/>
          <w:p>
            <w:pPr>
              <w:pStyle w:val="Compact"/>
              <w:jc w:val="right"/>
            </w:pPr>
            <w:r>
              <w:t xml:space="preserve">0.157</w:t>
            </w:r>
          </w:p>
        </w:tc>
        <w:tc>
          <w:tcPr/>
          <w:p>
            <w:pPr>
              <w:pStyle w:val="Compact"/>
              <w:jc w:val="right"/>
            </w:pPr>
            <w:r>
              <w:t xml:space="preserve">0.251</w:t>
            </w:r>
          </w:p>
        </w:tc>
        <w:tc>
          <w:tcPr/>
          <w:p>
            <w:pPr>
              <w:pStyle w:val="Compact"/>
              <w:jc w:val="right"/>
            </w:pPr>
            <w:r>
              <w:t xml:space="preserve">0.97</w:t>
            </w:r>
          </w:p>
        </w:tc>
        <w:tc>
          <w:tcPr/>
          <w:p>
            <w:pPr>
              <w:pStyle w:val="Compact"/>
              <w:jc w:val="right"/>
            </w:pPr>
            <w:r>
              <w:t xml:space="preserve">$5,868</w:t>
            </w:r>
          </w:p>
        </w:tc>
      </w:tr>
      <w:tr>
        <w:tc>
          <w:tcPr/>
          <w:p>
            <w:pPr>
              <w:pStyle w:val="Compact"/>
            </w:pPr>
            <w:r>
              <w:t xml:space="preserve">CCSR floor 1%</w:t>
            </w:r>
          </w:p>
        </w:tc>
        <w:tc>
          <w:tcPr/>
          <w:p>
            <w:pPr>
              <w:pStyle w:val="Compact"/>
              <w:jc w:val="right"/>
            </w:pPr>
            <w:r>
              <w:t xml:space="preserve">LightGBM (Tweedie)</w:t>
            </w:r>
          </w:p>
        </w:tc>
        <w:tc>
          <w:tcPr/>
          <w:p>
            <w:pPr>
              <w:pStyle w:val="Compact"/>
              <w:jc w:val="right"/>
            </w:pPr>
            <w:r>
              <w:t xml:space="preserve">43,568</w:t>
            </w:r>
          </w:p>
        </w:tc>
        <w:tc>
          <w:tcPr/>
          <w:p>
            <w:pPr>
              <w:pStyle w:val="Compact"/>
              <w:jc w:val="right"/>
            </w:pPr>
            <w:r>
              <w:t xml:space="preserve">0.195</w:t>
            </w:r>
          </w:p>
        </w:tc>
        <w:tc>
          <w:tcPr/>
          <w:p>
            <w:pPr>
              <w:pStyle w:val="Compact"/>
              <w:jc w:val="right"/>
            </w:pPr>
            <w:r>
              <w:t xml:space="preserve">0.277</w:t>
            </w:r>
          </w:p>
        </w:tc>
        <w:tc>
          <w:tcPr/>
          <w:p>
            <w:pPr>
              <w:pStyle w:val="Compact"/>
              <w:jc w:val="right"/>
            </w:pPr>
            <w:r>
              <w:t xml:space="preserve">0.99</w:t>
            </w:r>
          </w:p>
        </w:tc>
        <w:tc>
          <w:tcPr/>
          <w:p>
            <w:pPr>
              <w:pStyle w:val="Compact"/>
              <w:jc w:val="right"/>
            </w:pPr>
            <w:r>
              <w:t xml:space="preserve">$5,824</w:t>
            </w:r>
          </w:p>
        </w:tc>
      </w:tr>
      <w:tr>
        <w:tc>
          <w:tcPr/>
          <w:p>
            <w:pPr>
              <w:pStyle w:val="Compact"/>
            </w:pPr>
            <w:r>
              <w:t xml:space="preserve">no prior spending (F2)</w:t>
            </w:r>
          </w:p>
        </w:tc>
        <w:tc>
          <w:tcPr/>
          <w:p>
            <w:pPr>
              <w:pStyle w:val="Compact"/>
              <w:jc w:val="right"/>
            </w:pPr>
            <w:r>
              <w:t xml:space="preserve">WLS</w:t>
            </w:r>
          </w:p>
        </w:tc>
        <w:tc>
          <w:tcPr/>
          <w:p>
            <w:pPr>
              <w:pStyle w:val="Compact"/>
              <w:jc w:val="right"/>
            </w:pPr>
            <w:r>
              <w:t xml:space="preserve">43,568</w:t>
            </w:r>
          </w:p>
        </w:tc>
        <w:tc>
          <w:tcPr/>
          <w:p>
            <w:pPr>
              <w:pStyle w:val="Compact"/>
              <w:jc w:val="right"/>
            </w:pPr>
            <w:r>
              <w:t xml:space="preserve">0.101</w:t>
            </w:r>
          </w:p>
        </w:tc>
        <w:tc>
          <w:tcPr/>
          <w:p>
            <w:pPr>
              <w:pStyle w:val="Compact"/>
              <w:jc w:val="right"/>
            </w:pPr>
            <w:r>
              <w:t xml:space="preserve">0.189</w:t>
            </w:r>
          </w:p>
        </w:tc>
        <w:tc>
          <w:tcPr/>
          <w:p>
            <w:pPr>
              <w:pStyle w:val="Compact"/>
              <w:jc w:val="right"/>
            </w:pPr>
            <w:r>
              <w:t xml:space="preserve">1.06</w:t>
            </w:r>
          </w:p>
        </w:tc>
        <w:tc>
          <w:tcPr/>
          <w:p>
            <w:pPr>
              <w:pStyle w:val="Compact"/>
              <w:jc w:val="right"/>
            </w:pPr>
            <w:r>
              <w:t xml:space="preserve">$8,908</w:t>
            </w:r>
          </w:p>
        </w:tc>
      </w:tr>
      <w:tr>
        <w:tc>
          <w:tcPr/>
          <w:p>
            <w:pPr>
              <w:pStyle w:val="Compact"/>
            </w:pPr>
            <w:r>
              <w:t xml:space="preserve">no prior spending (F2)</w:t>
            </w:r>
          </w:p>
        </w:tc>
        <w:tc>
          <w:tcPr/>
          <w:p>
            <w:pPr>
              <w:pStyle w:val="Compact"/>
              <w:jc w:val="right"/>
            </w:pPr>
            <w:r>
              <w:t xml:space="preserve">Tweedie GLM</w:t>
            </w:r>
          </w:p>
        </w:tc>
        <w:tc>
          <w:tcPr/>
          <w:p>
            <w:pPr>
              <w:pStyle w:val="Compact"/>
              <w:jc w:val="right"/>
            </w:pPr>
            <w:r>
              <w:t xml:space="preserve">43,568</w:t>
            </w:r>
          </w:p>
        </w:tc>
        <w:tc>
          <w:tcPr/>
          <w:p>
            <w:pPr>
              <w:pStyle w:val="Compact"/>
              <w:jc w:val="right"/>
            </w:pPr>
            <w:r>
              <w:t xml:space="preserve">0.013</w:t>
            </w:r>
          </w:p>
        </w:tc>
        <w:tc>
          <w:tcPr/>
          <w:p>
            <w:pPr>
              <w:pStyle w:val="Compact"/>
              <w:jc w:val="right"/>
            </w:pPr>
            <w:r>
              <w:t xml:space="preserve">0.176</w:t>
            </w:r>
          </w:p>
        </w:tc>
        <w:tc>
          <w:tcPr/>
          <w:p>
            <w:pPr>
              <w:pStyle w:val="Compact"/>
              <w:jc w:val="right"/>
            </w:pPr>
            <w:r>
              <w:t xml:space="preserve">1.24</w:t>
            </w:r>
          </w:p>
        </w:tc>
        <w:tc>
          <w:tcPr/>
          <w:p>
            <w:pPr>
              <w:pStyle w:val="Compact"/>
              <w:jc w:val="right"/>
            </w:pPr>
            <w:r>
              <w:t xml:space="preserve">$5,223</w:t>
            </w:r>
          </w:p>
        </w:tc>
      </w:tr>
      <w:tr>
        <w:tc>
          <w:tcPr/>
          <w:p>
            <w:pPr>
              <w:pStyle w:val="Compact"/>
            </w:pPr>
            <w:r>
              <w:t xml:space="preserve">no prior spending (F2)</w:t>
            </w:r>
          </w:p>
        </w:tc>
        <w:tc>
          <w:tcPr/>
          <w:p>
            <w:pPr>
              <w:pStyle w:val="Compact"/>
              <w:jc w:val="right"/>
            </w:pPr>
            <w:r>
              <w:t xml:space="preserve">LightGBM (Tweedie)</w:t>
            </w:r>
          </w:p>
        </w:tc>
        <w:tc>
          <w:tcPr/>
          <w:p>
            <w:pPr>
              <w:pStyle w:val="Compact"/>
              <w:jc w:val="right"/>
            </w:pPr>
            <w:r>
              <w:t xml:space="preserve">43,568</w:t>
            </w:r>
          </w:p>
        </w:tc>
        <w:tc>
          <w:tcPr/>
          <w:p>
            <w:pPr>
              <w:pStyle w:val="Compact"/>
              <w:jc w:val="right"/>
            </w:pPr>
            <w:r>
              <w:t xml:space="preserve">0.101</w:t>
            </w:r>
          </w:p>
        </w:tc>
        <w:tc>
          <w:tcPr/>
          <w:p>
            <w:pPr>
              <w:pStyle w:val="Compact"/>
              <w:jc w:val="right"/>
            </w:pPr>
            <w:r>
              <w:t xml:space="preserve">0.199</w:t>
            </w:r>
          </w:p>
        </w:tc>
        <w:tc>
          <w:tcPr/>
          <w:p>
            <w:pPr>
              <w:pStyle w:val="Compact"/>
              <w:jc w:val="right"/>
            </w:pPr>
            <w:r>
              <w:t xml:space="preserve">1.01</w:t>
            </w:r>
          </w:p>
        </w:tc>
        <w:tc>
          <w:tcPr/>
          <w:p>
            <w:pPr>
              <w:pStyle w:val="Compact"/>
              <w:jc w:val="right"/>
            </w:pPr>
            <w:r>
              <w:t xml:space="preserve">$10,670</w:t>
            </w:r>
          </w:p>
        </w:tc>
      </w:tr>
      <w:tr>
        <w:tc>
          <w:tcPr/>
          <w:p>
            <w:pPr>
              <w:pStyle w:val="Compact"/>
            </w:pPr>
            <w:r>
              <w:t xml:space="preserve">social-risk features (F4)</w:t>
            </w:r>
          </w:p>
        </w:tc>
        <w:tc>
          <w:tcPr/>
          <w:p>
            <w:pPr>
              <w:pStyle w:val="Compact"/>
              <w:jc w:val="right"/>
            </w:pPr>
            <w:r>
              <w:t xml:space="preserve">WLS</w:t>
            </w:r>
          </w:p>
        </w:tc>
        <w:tc>
          <w:tcPr/>
          <w:p>
            <w:pPr>
              <w:pStyle w:val="Compact"/>
              <w:jc w:val="right"/>
            </w:pPr>
            <w:r>
              <w:t xml:space="preserve">43,568</w:t>
            </w:r>
          </w:p>
        </w:tc>
        <w:tc>
          <w:tcPr/>
          <w:p>
            <w:pPr>
              <w:pStyle w:val="Compact"/>
              <w:jc w:val="right"/>
            </w:pPr>
            <w:r>
              <w:t xml:space="preserve">0.127</w:t>
            </w:r>
          </w:p>
        </w:tc>
        <w:tc>
          <w:tcPr/>
          <w:p>
            <w:pPr>
              <w:pStyle w:val="Compact"/>
              <w:jc w:val="right"/>
            </w:pPr>
            <w:r>
              <w:t xml:space="preserve">0.152</w:t>
            </w:r>
          </w:p>
        </w:tc>
        <w:tc>
          <w:tcPr/>
          <w:p>
            <w:pPr>
              <w:pStyle w:val="Compact"/>
              <w:jc w:val="right"/>
            </w:pPr>
            <w:r>
              <w:t xml:space="preserve">0.96</w:t>
            </w:r>
          </w:p>
        </w:tc>
        <w:tc>
          <w:tcPr/>
          <w:p>
            <w:pPr>
              <w:pStyle w:val="Compact"/>
              <w:jc w:val="right"/>
            </w:pPr>
            <w:r>
              <w:t xml:space="preserve">$1,462</w:t>
            </w:r>
          </w:p>
        </w:tc>
      </w:tr>
      <w:tr>
        <w:tc>
          <w:tcPr/>
          <w:p>
            <w:pPr>
              <w:pStyle w:val="Compact"/>
            </w:pPr>
            <w:r>
              <w:t xml:space="preserve">social-risk features (F4)</w:t>
            </w:r>
          </w:p>
        </w:tc>
        <w:tc>
          <w:tcPr/>
          <w:p>
            <w:pPr>
              <w:pStyle w:val="Compact"/>
              <w:jc w:val="right"/>
            </w:pPr>
            <w:r>
              <w:t xml:space="preserve">Tweedie GLM</w:t>
            </w:r>
          </w:p>
        </w:tc>
        <w:tc>
          <w:tcPr/>
          <w:p>
            <w:pPr>
              <w:pStyle w:val="Compact"/>
              <w:jc w:val="right"/>
            </w:pPr>
            <w:r>
              <w:t xml:space="preserve">43,568</w:t>
            </w:r>
          </w:p>
        </w:tc>
        <w:tc>
          <w:tcPr/>
          <w:p>
            <w:pPr>
              <w:pStyle w:val="Compact"/>
              <w:jc w:val="right"/>
            </w:pPr>
            <w:r>
              <w:t xml:space="preserve">0.122</w:t>
            </w:r>
          </w:p>
        </w:tc>
        <w:tc>
          <w:tcPr/>
          <w:p>
            <w:pPr>
              <w:pStyle w:val="Compact"/>
              <w:jc w:val="right"/>
            </w:pPr>
            <w:r>
              <w:t xml:space="preserve">0.245</w:t>
            </w:r>
          </w:p>
        </w:tc>
        <w:tc>
          <w:tcPr/>
          <w:p>
            <w:pPr>
              <w:pStyle w:val="Compact"/>
              <w:jc w:val="right"/>
            </w:pPr>
            <w:r>
              <w:t xml:space="preserve">1.03</w:t>
            </w:r>
          </w:p>
        </w:tc>
        <w:tc>
          <w:tcPr/>
          <w:p>
            <w:pPr>
              <w:pStyle w:val="Compact"/>
              <w:jc w:val="right"/>
            </w:pPr>
            <w:r>
              <w:t xml:space="preserve">$1,236</w:t>
            </w:r>
          </w:p>
        </w:tc>
      </w:tr>
      <w:tr>
        <w:tc>
          <w:tcPr/>
          <w:p>
            <w:pPr>
              <w:pStyle w:val="Compact"/>
            </w:pPr>
            <w:r>
              <w:t xml:space="preserve">social-risk features (F4)</w:t>
            </w:r>
          </w:p>
        </w:tc>
        <w:tc>
          <w:tcPr/>
          <w:p>
            <w:pPr>
              <w:pStyle w:val="Compact"/>
              <w:jc w:val="right"/>
            </w:pPr>
            <w:r>
              <w:t xml:space="preserve">LightGBM (Tweedie)</w:t>
            </w:r>
          </w:p>
        </w:tc>
        <w:tc>
          <w:tcPr/>
          <w:p>
            <w:pPr>
              <w:pStyle w:val="Compact"/>
              <w:jc w:val="right"/>
            </w:pPr>
            <w:r>
              <w:t xml:space="preserve">43,568</w:t>
            </w:r>
          </w:p>
        </w:tc>
        <w:tc>
          <w:tcPr/>
          <w:p>
            <w:pPr>
              <w:pStyle w:val="Compact"/>
              <w:jc w:val="right"/>
            </w:pPr>
            <w:r>
              <w:t xml:space="preserve">0.194</w:t>
            </w:r>
          </w:p>
        </w:tc>
        <w:tc>
          <w:tcPr/>
          <w:p>
            <w:pPr>
              <w:pStyle w:val="Compact"/>
              <w:jc w:val="right"/>
            </w:pPr>
            <w:r>
              <w:t xml:space="preserve">0.280</w:t>
            </w:r>
          </w:p>
        </w:tc>
        <w:tc>
          <w:tcPr/>
          <w:p>
            <w:pPr>
              <w:pStyle w:val="Compact"/>
              <w:jc w:val="right"/>
            </w:pPr>
            <w:r>
              <w:t xml:space="preserve">0.99</w:t>
            </w:r>
          </w:p>
        </w:tc>
        <w:tc>
          <w:tcPr/>
          <w:p>
            <w:pPr>
              <w:pStyle w:val="Compact"/>
              <w:jc w:val="right"/>
            </w:pPr>
            <w:r>
              <w:t xml:space="preserve">$2,190</w:t>
            </w:r>
          </w:p>
        </w:tc>
      </w:tr>
      <w:tr>
        <w:tc>
          <w:tcPr/>
          <w:p>
            <w:pPr>
              <w:pStyle w:val="Compact"/>
            </w:pPr>
            <w:r>
              <w:t xml:space="preserve">decedents included</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0.128</w:t>
            </w:r>
          </w:p>
        </w:tc>
        <w:tc>
          <w:tcPr/>
          <w:p>
            <w:pPr>
              <w:pStyle w:val="Compact"/>
              <w:jc w:val="right"/>
            </w:pPr>
            <w:r>
              <w:t xml:space="preserve">0.151</w:t>
            </w:r>
          </w:p>
        </w:tc>
        <w:tc>
          <w:tcPr/>
          <w:p>
            <w:pPr>
              <w:pStyle w:val="Compact"/>
              <w:jc w:val="right"/>
            </w:pPr>
            <w:r>
              <w:t xml:space="preserve">0.94</w:t>
            </w:r>
          </w:p>
        </w:tc>
        <w:tc>
          <w:tcPr/>
          <w:p>
            <w:pPr>
              <w:pStyle w:val="Compact"/>
              <w:jc w:val="right"/>
            </w:pPr>
            <w:r>
              <w:t xml:space="preserve">$6,773</w:t>
            </w:r>
          </w:p>
        </w:tc>
      </w:tr>
      <w:tr>
        <w:tc>
          <w:tcPr/>
          <w:p>
            <w:pPr>
              <w:pStyle w:val="Compact"/>
            </w:pPr>
            <w:r>
              <w:t xml:space="preserve">decedents included</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0.129</w:t>
            </w:r>
          </w:p>
        </w:tc>
        <w:tc>
          <w:tcPr/>
          <w:p>
            <w:pPr>
              <w:pStyle w:val="Compact"/>
              <w:jc w:val="right"/>
            </w:pPr>
            <w:r>
              <w:t xml:space="preserve">0.243</w:t>
            </w:r>
          </w:p>
        </w:tc>
        <w:tc>
          <w:tcPr/>
          <w:p>
            <w:pPr>
              <w:pStyle w:val="Compact"/>
              <w:jc w:val="right"/>
            </w:pPr>
            <w:r>
              <w:t xml:space="preserve">1.01</w:t>
            </w:r>
          </w:p>
        </w:tc>
        <w:tc>
          <w:tcPr/>
          <w:p>
            <w:pPr>
              <w:pStyle w:val="Compact"/>
              <w:jc w:val="right"/>
            </w:pPr>
            <w:r>
              <w:t xml:space="preserve">$3,896</w:t>
            </w:r>
          </w:p>
        </w:tc>
      </w:tr>
      <w:tr>
        <w:tc>
          <w:tcPr/>
          <w:p>
            <w:pPr>
              <w:pStyle w:val="Compact"/>
            </w:pPr>
            <w:r>
              <w:t xml:space="preserve">decedents included</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0.193</w:t>
            </w:r>
          </w:p>
        </w:tc>
        <w:tc>
          <w:tcPr/>
          <w:p>
            <w:pPr>
              <w:pStyle w:val="Compact"/>
              <w:jc w:val="right"/>
            </w:pPr>
            <w:r>
              <w:t xml:space="preserve">0.277</w:t>
            </w:r>
          </w:p>
        </w:tc>
        <w:tc>
          <w:tcPr/>
          <w:p>
            <w:pPr>
              <w:pStyle w:val="Compact"/>
              <w:jc w:val="right"/>
            </w:pPr>
            <w:r>
              <w:t xml:space="preserve">0.99</w:t>
            </w:r>
          </w:p>
        </w:tc>
        <w:tc>
          <w:tcPr/>
          <w:p>
            <w:pPr>
              <w:pStyle w:val="Compact"/>
              <w:jc w:val="right"/>
            </w:pPr>
            <w:r>
              <w:t xml:space="preserve">$4,529</w:t>
            </w:r>
          </w:p>
        </w:tc>
      </w:tr>
      <w:tr>
        <w:tc>
          <w:tcPr/>
          <w:p>
            <w:pPr>
              <w:pStyle w:val="Compact"/>
            </w:pPr>
            <w:r>
              <w:t xml:space="preserve">pandemic outcomes out</w:t>
            </w:r>
          </w:p>
        </w:tc>
        <w:tc>
          <w:tcPr/>
          <w:p>
            <w:pPr>
              <w:pStyle w:val="Compact"/>
              <w:jc w:val="right"/>
            </w:pPr>
            <w:r>
              <w:t xml:space="preserve">WLS</w:t>
            </w:r>
          </w:p>
        </w:tc>
        <w:tc>
          <w:tcPr/>
          <w:p>
            <w:pPr>
              <w:pStyle w:val="Compact"/>
              <w:jc w:val="right"/>
            </w:pPr>
            <w:r>
              <w:t xml:space="preserve">28,208</w:t>
            </w:r>
          </w:p>
        </w:tc>
        <w:tc>
          <w:tcPr/>
          <w:p>
            <w:pPr>
              <w:pStyle w:val="Compact"/>
              <w:jc w:val="right"/>
            </w:pPr>
            <w:r>
              <w:t xml:space="preserve">0.124</w:t>
            </w:r>
          </w:p>
        </w:tc>
        <w:tc>
          <w:tcPr/>
          <w:p>
            <w:pPr>
              <w:pStyle w:val="Compact"/>
              <w:jc w:val="right"/>
            </w:pPr>
            <w:r>
              <w:t xml:space="preserve">0.146</w:t>
            </w:r>
          </w:p>
        </w:tc>
        <w:tc>
          <w:tcPr/>
          <w:p>
            <w:pPr>
              <w:pStyle w:val="Compact"/>
              <w:jc w:val="right"/>
            </w:pPr>
            <w:r>
              <w:t xml:space="preserve">0.97</w:t>
            </w:r>
          </w:p>
        </w:tc>
        <w:tc>
          <w:tcPr/>
          <w:p>
            <w:pPr>
              <w:pStyle w:val="Compact"/>
              <w:jc w:val="right"/>
            </w:pPr>
            <w:r>
              <w:t xml:space="preserve">$9,652</w:t>
            </w:r>
          </w:p>
        </w:tc>
      </w:tr>
      <w:tr>
        <w:tc>
          <w:tcPr/>
          <w:p>
            <w:pPr>
              <w:pStyle w:val="Compact"/>
            </w:pPr>
            <w:r>
              <w:t xml:space="preserve">pandemic outcomes out</w:t>
            </w:r>
          </w:p>
        </w:tc>
        <w:tc>
          <w:tcPr/>
          <w:p>
            <w:pPr>
              <w:pStyle w:val="Compact"/>
              <w:jc w:val="right"/>
            </w:pPr>
            <w:r>
              <w:t xml:space="preserve">Tweedie GLM</w:t>
            </w:r>
          </w:p>
        </w:tc>
        <w:tc>
          <w:tcPr/>
          <w:p>
            <w:pPr>
              <w:pStyle w:val="Compact"/>
              <w:jc w:val="right"/>
            </w:pPr>
            <w:r>
              <w:t xml:space="preserve">28,208</w:t>
            </w:r>
          </w:p>
        </w:tc>
        <w:tc>
          <w:tcPr/>
          <w:p>
            <w:pPr>
              <w:pStyle w:val="Compact"/>
              <w:jc w:val="right"/>
            </w:pPr>
            <w:r>
              <w:t xml:space="preserve">0.108</w:t>
            </w:r>
          </w:p>
        </w:tc>
        <w:tc>
          <w:tcPr/>
          <w:p>
            <w:pPr>
              <w:pStyle w:val="Compact"/>
              <w:jc w:val="right"/>
            </w:pPr>
            <w:r>
              <w:t xml:space="preserve">0.249</w:t>
            </w:r>
          </w:p>
        </w:tc>
        <w:tc>
          <w:tcPr/>
          <w:p>
            <w:pPr>
              <w:pStyle w:val="Compact"/>
              <w:jc w:val="right"/>
            </w:pPr>
            <w:r>
              <w:t xml:space="preserve">1.03</w:t>
            </w:r>
          </w:p>
        </w:tc>
        <w:tc>
          <w:tcPr/>
          <w:p>
            <w:pPr>
              <w:pStyle w:val="Compact"/>
              <w:jc w:val="right"/>
            </w:pPr>
            <w:r>
              <w:t xml:space="preserve">$6,659</w:t>
            </w:r>
          </w:p>
        </w:tc>
      </w:tr>
      <w:tr>
        <w:tc>
          <w:tcPr/>
          <w:p>
            <w:pPr>
              <w:pStyle w:val="Compact"/>
            </w:pPr>
            <w:r>
              <w:t xml:space="preserve">pandemic outcomes out</w:t>
            </w:r>
          </w:p>
        </w:tc>
        <w:tc>
          <w:tcPr/>
          <w:p>
            <w:pPr>
              <w:pStyle w:val="Compact"/>
              <w:jc w:val="right"/>
            </w:pPr>
            <w:r>
              <w:t xml:space="preserve">LightGBM (Tweedie)</w:t>
            </w:r>
          </w:p>
        </w:tc>
        <w:tc>
          <w:tcPr/>
          <w:p>
            <w:pPr>
              <w:pStyle w:val="Compact"/>
              <w:jc w:val="right"/>
            </w:pPr>
            <w:r>
              <w:t xml:space="preserve">28,208</w:t>
            </w:r>
          </w:p>
        </w:tc>
        <w:tc>
          <w:tcPr/>
          <w:p>
            <w:pPr>
              <w:pStyle w:val="Compact"/>
              <w:jc w:val="right"/>
            </w:pPr>
            <w:r>
              <w:t xml:space="preserve">0.211</w:t>
            </w:r>
          </w:p>
        </w:tc>
        <w:tc>
          <w:tcPr/>
          <w:p>
            <w:pPr>
              <w:pStyle w:val="Compact"/>
              <w:jc w:val="right"/>
            </w:pPr>
            <w:r>
              <w:t xml:space="preserve">0.287</w:t>
            </w:r>
          </w:p>
        </w:tc>
        <w:tc>
          <w:tcPr/>
          <w:p>
            <w:pPr>
              <w:pStyle w:val="Compact"/>
              <w:jc w:val="right"/>
            </w:pPr>
            <w:r>
              <w:t xml:space="preserve">0.99</w:t>
            </w:r>
          </w:p>
        </w:tc>
        <w:tc>
          <w:tcPr/>
          <w:p>
            <w:pPr>
              <w:pStyle w:val="Compact"/>
              <w:jc w:val="right"/>
            </w:pPr>
            <w:r>
              <w:t xml:space="preserve">$7,998</w:t>
            </w:r>
          </w:p>
        </w:tc>
      </w:tr>
      <w:tr>
        <w:tc>
          <w:tcPr/>
          <w:p>
            <w:pPr>
              <w:pStyle w:val="Compact"/>
            </w:pPr>
            <w:r>
              <w:t xml:space="preserve">age 65 and over</w:t>
            </w:r>
          </w:p>
        </w:tc>
        <w:tc>
          <w:tcPr/>
          <w:p>
            <w:pPr>
              <w:pStyle w:val="Compact"/>
              <w:jc w:val="right"/>
            </w:pPr>
            <w:r>
              <w:t xml:space="preserve">WLS</w:t>
            </w:r>
          </w:p>
        </w:tc>
        <w:tc>
          <w:tcPr/>
          <w:p>
            <w:pPr>
              <w:pStyle w:val="Compact"/>
              <w:jc w:val="right"/>
            </w:pPr>
            <w:r>
              <w:t xml:space="preserve">9,173</w:t>
            </w:r>
          </w:p>
        </w:tc>
        <w:tc>
          <w:tcPr/>
          <w:p>
            <w:pPr>
              <w:pStyle w:val="Compact"/>
              <w:jc w:val="right"/>
            </w:pPr>
            <w:r>
              <w:t xml:space="preserve">0.082</w:t>
            </w:r>
          </w:p>
        </w:tc>
        <w:tc>
          <w:tcPr/>
          <w:p>
            <w:pPr>
              <w:pStyle w:val="Compact"/>
              <w:jc w:val="right"/>
            </w:pPr>
            <w:r>
              <w:t xml:space="preserve">0.080</w:t>
            </w:r>
          </w:p>
        </w:tc>
        <w:tc>
          <w:tcPr/>
          <w:p>
            <w:pPr>
              <w:pStyle w:val="Compact"/>
              <w:jc w:val="right"/>
            </w:pPr>
            <w:r>
              <w:t xml:space="preserve">1.08</w:t>
            </w:r>
          </w:p>
        </w:tc>
        <w:tc>
          <w:tcPr/>
          <w:p>
            <w:pPr>
              <w:pStyle w:val="Compact"/>
              <w:jc w:val="right"/>
            </w:pPr>
            <w:r>
              <w:t xml:space="preserve">$5,587</w:t>
            </w:r>
          </w:p>
        </w:tc>
      </w:tr>
      <w:tr>
        <w:tc>
          <w:tcPr/>
          <w:p>
            <w:pPr>
              <w:pStyle w:val="Compact"/>
            </w:pPr>
            <w:r>
              <w:t xml:space="preserve">age 65 and over</w:t>
            </w:r>
          </w:p>
        </w:tc>
        <w:tc>
          <w:tcPr/>
          <w:p>
            <w:pPr>
              <w:pStyle w:val="Compact"/>
              <w:jc w:val="right"/>
            </w:pPr>
            <w:r>
              <w:t xml:space="preserve">Tweedie GLM</w:t>
            </w:r>
          </w:p>
        </w:tc>
        <w:tc>
          <w:tcPr/>
          <w:p>
            <w:pPr>
              <w:pStyle w:val="Compact"/>
              <w:jc w:val="right"/>
            </w:pPr>
            <w:r>
              <w:t xml:space="preserve">9,173</w:t>
            </w:r>
          </w:p>
        </w:tc>
        <w:tc>
          <w:tcPr/>
          <w:p>
            <w:pPr>
              <w:pStyle w:val="Compact"/>
              <w:jc w:val="right"/>
            </w:pPr>
            <w:r>
              <w:t xml:space="preserve">0.109</w:t>
            </w:r>
          </w:p>
        </w:tc>
        <w:tc>
          <w:tcPr/>
          <w:p>
            <w:pPr>
              <w:pStyle w:val="Compact"/>
              <w:jc w:val="right"/>
            </w:pPr>
            <w:r>
              <w:t xml:space="preserve">0.164</w:t>
            </w:r>
          </w:p>
        </w:tc>
        <w:tc>
          <w:tcPr/>
          <w:p>
            <w:pPr>
              <w:pStyle w:val="Compact"/>
              <w:jc w:val="right"/>
            </w:pPr>
            <w:r>
              <w:t xml:space="preserve">1.07</w:t>
            </w:r>
          </w:p>
        </w:tc>
        <w:tc>
          <w:tcPr/>
          <w:p>
            <w:pPr>
              <w:pStyle w:val="Compact"/>
              <w:jc w:val="right"/>
            </w:pPr>
            <w:r>
              <w:t xml:space="preserve">$3,547</w:t>
            </w:r>
          </w:p>
        </w:tc>
      </w:tr>
      <w:tr>
        <w:tc>
          <w:tcPr/>
          <w:p>
            <w:pPr>
              <w:pStyle w:val="Compact"/>
            </w:pPr>
            <w:r>
              <w:t xml:space="preserve">age 65 and over</w:t>
            </w:r>
          </w:p>
        </w:tc>
        <w:tc>
          <w:tcPr/>
          <w:p>
            <w:pPr>
              <w:pStyle w:val="Compact"/>
              <w:jc w:val="right"/>
            </w:pPr>
            <w:r>
              <w:t xml:space="preserve">LightGBM (Tweedie)</w:t>
            </w:r>
          </w:p>
        </w:tc>
        <w:tc>
          <w:tcPr/>
          <w:p>
            <w:pPr>
              <w:pStyle w:val="Compact"/>
              <w:jc w:val="right"/>
            </w:pPr>
            <w:r>
              <w:t xml:space="preserve">9,173</w:t>
            </w:r>
          </w:p>
        </w:tc>
        <w:tc>
          <w:tcPr/>
          <w:p>
            <w:pPr>
              <w:pStyle w:val="Compact"/>
              <w:jc w:val="right"/>
            </w:pPr>
            <w:r>
              <w:t xml:space="preserve">0.170</w:t>
            </w:r>
          </w:p>
        </w:tc>
        <w:tc>
          <w:tcPr/>
          <w:p>
            <w:pPr>
              <w:pStyle w:val="Compact"/>
              <w:jc w:val="right"/>
            </w:pPr>
            <w:r>
              <w:t xml:space="preserve">0.197</w:t>
            </w:r>
          </w:p>
        </w:tc>
        <w:tc>
          <w:tcPr/>
          <w:p>
            <w:pPr>
              <w:pStyle w:val="Compact"/>
              <w:jc w:val="right"/>
            </w:pPr>
            <w:r>
              <w:t xml:space="preserve">0.93</w:t>
            </w:r>
          </w:p>
        </w:tc>
        <w:tc>
          <w:tcPr/>
          <w:p>
            <w:pPr>
              <w:pStyle w:val="Compact"/>
              <w:jc w:val="right"/>
            </w:pPr>
            <w:r>
              <w:t xml:space="preserve">$4,944</w:t>
            </w:r>
          </w:p>
        </w:tc>
      </w:tr>
      <w:tr>
        <w:tc>
          <w:tcPr/>
          <w:p>
            <w:pPr>
              <w:pStyle w:val="Compact"/>
            </w:pPr>
            <w:r>
              <w:t xml:space="preserve">under 65, private</w:t>
            </w:r>
          </w:p>
        </w:tc>
        <w:tc>
          <w:tcPr/>
          <w:p>
            <w:pPr>
              <w:pStyle w:val="Compact"/>
              <w:jc w:val="right"/>
            </w:pPr>
            <w:r>
              <w:t xml:space="preserve">WLS</w:t>
            </w:r>
          </w:p>
        </w:tc>
        <w:tc>
          <w:tcPr/>
          <w:p>
            <w:pPr>
              <w:pStyle w:val="Compact"/>
              <w:jc w:val="right"/>
            </w:pPr>
            <w:r>
              <w:t xml:space="preserve">21,962</w:t>
            </w:r>
          </w:p>
        </w:tc>
        <w:tc>
          <w:tcPr/>
          <w:p>
            <w:pPr>
              <w:pStyle w:val="Compact"/>
              <w:jc w:val="right"/>
            </w:pPr>
            <w:r>
              <w:t xml:space="preserve">0.091</w:t>
            </w:r>
          </w:p>
        </w:tc>
        <w:tc>
          <w:tcPr/>
          <w:p>
            <w:pPr>
              <w:pStyle w:val="Compact"/>
              <w:jc w:val="right"/>
            </w:pPr>
            <w:r>
              <w:t xml:space="preserve">0.095</w:t>
            </w:r>
          </w:p>
        </w:tc>
        <w:tc>
          <w:tcPr/>
          <w:p>
            <w:pPr>
              <w:pStyle w:val="Compact"/>
              <w:jc w:val="right"/>
            </w:pPr>
            <w:r>
              <w:t xml:space="preserve">1.02</w:t>
            </w:r>
          </w:p>
        </w:tc>
        <w:tc>
          <w:tcPr/>
          <w:p>
            <w:pPr>
              <w:pStyle w:val="Compact"/>
              <w:jc w:val="right"/>
            </w:pPr>
            <w:r>
              <w:t xml:space="preserve">$7,994</w:t>
            </w:r>
          </w:p>
        </w:tc>
      </w:tr>
      <w:tr>
        <w:tc>
          <w:tcPr/>
          <w:p>
            <w:pPr>
              <w:pStyle w:val="Compact"/>
            </w:pPr>
            <w:r>
              <w:t xml:space="preserve">under 65, private</w:t>
            </w:r>
          </w:p>
        </w:tc>
        <w:tc>
          <w:tcPr/>
          <w:p>
            <w:pPr>
              <w:pStyle w:val="Compact"/>
              <w:jc w:val="right"/>
            </w:pPr>
            <w:r>
              <w:t xml:space="preserve">Tweedie GLM</w:t>
            </w:r>
          </w:p>
        </w:tc>
        <w:tc>
          <w:tcPr/>
          <w:p>
            <w:pPr>
              <w:pStyle w:val="Compact"/>
              <w:jc w:val="right"/>
            </w:pPr>
            <w:r>
              <w:t xml:space="preserve">21,962</w:t>
            </w:r>
          </w:p>
        </w:tc>
        <w:tc>
          <w:tcPr/>
          <w:p>
            <w:pPr>
              <w:pStyle w:val="Compact"/>
              <w:jc w:val="right"/>
            </w:pPr>
            <w:r>
              <w:t xml:space="preserve">0.091</w:t>
            </w:r>
          </w:p>
        </w:tc>
        <w:tc>
          <w:tcPr/>
          <w:p>
            <w:pPr>
              <w:pStyle w:val="Compact"/>
              <w:jc w:val="right"/>
            </w:pPr>
            <w:r>
              <w:t xml:space="preserve">0.178</w:t>
            </w:r>
          </w:p>
        </w:tc>
        <w:tc>
          <w:tcPr/>
          <w:p>
            <w:pPr>
              <w:pStyle w:val="Compact"/>
              <w:jc w:val="right"/>
            </w:pPr>
            <w:r>
              <w:t xml:space="preserve">1.07</w:t>
            </w:r>
          </w:p>
        </w:tc>
        <w:tc>
          <w:tcPr/>
          <w:p>
            <w:pPr>
              <w:pStyle w:val="Compact"/>
              <w:jc w:val="right"/>
            </w:pPr>
            <w:r>
              <w:t xml:space="preserve">$3,941</w:t>
            </w:r>
          </w:p>
        </w:tc>
      </w:tr>
      <w:tr>
        <w:tc>
          <w:tcPr/>
          <w:p>
            <w:pPr>
              <w:pStyle w:val="Compact"/>
            </w:pPr>
            <w:r>
              <w:t xml:space="preserve">under 65, private</w:t>
            </w:r>
          </w:p>
        </w:tc>
        <w:tc>
          <w:tcPr/>
          <w:p>
            <w:pPr>
              <w:pStyle w:val="Compact"/>
              <w:jc w:val="right"/>
            </w:pPr>
            <w:r>
              <w:t xml:space="preserve">LightGBM (Tweedie)</w:t>
            </w:r>
          </w:p>
        </w:tc>
        <w:tc>
          <w:tcPr/>
          <w:p>
            <w:pPr>
              <w:pStyle w:val="Compact"/>
              <w:jc w:val="right"/>
            </w:pPr>
            <w:r>
              <w:t xml:space="preserve">21,962</w:t>
            </w:r>
          </w:p>
        </w:tc>
        <w:tc>
          <w:tcPr/>
          <w:p>
            <w:pPr>
              <w:pStyle w:val="Compact"/>
              <w:jc w:val="right"/>
            </w:pPr>
            <w:r>
              <w:t xml:space="preserve">0.160</w:t>
            </w:r>
          </w:p>
        </w:tc>
        <w:tc>
          <w:tcPr/>
          <w:p>
            <w:pPr>
              <w:pStyle w:val="Compact"/>
              <w:jc w:val="right"/>
            </w:pPr>
            <w:r>
              <w:t xml:space="preserve">0.211</w:t>
            </w:r>
          </w:p>
        </w:tc>
        <w:tc>
          <w:tcPr/>
          <w:p>
            <w:pPr>
              <w:pStyle w:val="Compact"/>
              <w:jc w:val="right"/>
            </w:pPr>
            <w:r>
              <w:t xml:space="preserve">0.97</w:t>
            </w:r>
          </w:p>
        </w:tc>
        <w:tc>
          <w:tcPr/>
          <w:p>
            <w:pPr>
              <w:pStyle w:val="Compact"/>
              <w:jc w:val="right"/>
            </w:pPr>
            <w:r>
              <w:t xml:space="preserve">$6,579</w:t>
            </w:r>
          </w:p>
        </w:tc>
      </w:tr>
    </w:tbl>
    <w:bookmarkEnd w:id="52"/>
    <w:bookmarkStart w:id="53" w:name="appendix-tables"/>
    <w:p>
      <w:pPr>
        <w:pStyle w:val="Heading1"/>
      </w:pPr>
      <w:r>
        <w:t xml:space="preserve">Appendix tables</w:t>
      </w:r>
    </w:p>
    <w:p>
      <w:pPr>
        <w:pStyle w:val="FirstParagraph"/>
      </w:pPr>
      <w:r>
        <w:rPr>
          <w:b/>
          <w:bCs/>
        </w:rPr>
        <w:t xml:space="preserve">Table A1.</w:t>
      </w:r>
      <w:r>
        <w:t xml:space="preserve"> </w:t>
      </w:r>
      <w:r>
        <w:t xml:space="preserve">Sample flow by MEPS panel.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Panel</w:t>
            </w:r>
          </w:p>
        </w:tc>
        <w:tc>
          <w:tcPr/>
          <w:p>
            <w:pPr>
              <w:pStyle w:val="Compact"/>
              <w:jc w:val="right"/>
            </w:pPr>
            <w:r>
              <w:t xml:space="preserve">Years</w:t>
            </w:r>
          </w:p>
        </w:tc>
        <w:tc>
          <w:tcPr/>
          <w:p>
            <w:pPr>
              <w:pStyle w:val="Compact"/>
              <w:jc w:val="right"/>
            </w:pPr>
            <w:r>
              <w:t xml:space="preserve">In file</w:t>
            </w:r>
          </w:p>
        </w:tc>
        <w:tc>
          <w:tcPr/>
          <w:p>
            <w:pPr>
              <w:pStyle w:val="Compact"/>
              <w:jc w:val="right"/>
            </w:pPr>
            <w:r>
              <w:t xml:space="preserve">Both years, weight &gt; 0</w:t>
            </w:r>
          </w:p>
        </w:tc>
        <w:tc>
          <w:tcPr/>
          <w:p>
            <w:pPr>
              <w:pStyle w:val="Compact"/>
              <w:jc w:val="right"/>
            </w:pPr>
            <w:r>
              <w:t xml:space="preserve">Died in year 2</w:t>
            </w:r>
          </w:p>
        </w:tc>
        <w:tc>
          <w:tcPr/>
          <w:p>
            <w:pPr>
              <w:pStyle w:val="Compact"/>
              <w:jc w:val="right"/>
            </w:pPr>
            <w:r>
              <w:t xml:space="preserve">Analysis sample</w:t>
            </w:r>
          </w:p>
        </w:tc>
        <w:tc>
          <w:tcPr/>
          <w:p>
            <w:pPr>
              <w:pStyle w:val="Compact"/>
              <w:jc w:val="right"/>
            </w:pPr>
            <w:r>
              <w:t xml:space="preserve">Any year-1 condition</w:t>
            </w:r>
          </w:p>
        </w:tc>
      </w:tr>
      <w:tr>
        <w:tc>
          <w:tcPr/>
          <w:p>
            <w:pPr>
              <w:pStyle w:val="Compact"/>
            </w:pPr>
            <w:r>
              <w:t xml:space="preserve">23</w:t>
            </w:r>
          </w:p>
        </w:tc>
        <w:tc>
          <w:tcPr/>
          <w:p>
            <w:pPr>
              <w:pStyle w:val="Compact"/>
              <w:jc w:val="right"/>
            </w:pPr>
            <w:r>
              <w:t xml:space="preserve">2018-2019</w:t>
            </w:r>
          </w:p>
        </w:tc>
        <w:tc>
          <w:tcPr/>
          <w:p>
            <w:pPr>
              <w:pStyle w:val="Compact"/>
              <w:jc w:val="right"/>
            </w:pPr>
            <w:r>
              <w:t xml:space="preserve">14,067</w:t>
            </w:r>
          </w:p>
        </w:tc>
        <w:tc>
          <w:tcPr/>
          <w:p>
            <w:pPr>
              <w:pStyle w:val="Compact"/>
              <w:jc w:val="right"/>
            </w:pPr>
            <w:r>
              <w:t xml:space="preserve">13,766</w:t>
            </w:r>
          </w:p>
        </w:tc>
        <w:tc>
          <w:tcPr/>
          <w:p>
            <w:pPr>
              <w:pStyle w:val="Compact"/>
              <w:jc w:val="right"/>
            </w:pPr>
            <w:r>
              <w:t xml:space="preserve">117</w:t>
            </w:r>
          </w:p>
        </w:tc>
        <w:tc>
          <w:tcPr/>
          <w:p>
            <w:pPr>
              <w:pStyle w:val="Compact"/>
              <w:jc w:val="right"/>
            </w:pPr>
            <w:r>
              <w:t xml:space="preserve">13,648</w:t>
            </w:r>
          </w:p>
        </w:tc>
        <w:tc>
          <w:tcPr/>
          <w:p>
            <w:pPr>
              <w:pStyle w:val="Compact"/>
              <w:jc w:val="right"/>
            </w:pPr>
            <w:r>
              <w:t xml:space="preserve">9,679</w:t>
            </w:r>
          </w:p>
        </w:tc>
      </w:tr>
      <w:tr>
        <w:tc>
          <w:tcPr/>
          <w:p>
            <w:pPr>
              <w:pStyle w:val="Compact"/>
            </w:pPr>
            <w:r>
              <w:t xml:space="preserve">24</w:t>
            </w:r>
          </w:p>
        </w:tc>
        <w:tc>
          <w:tcPr/>
          <w:p>
            <w:pPr>
              <w:pStyle w:val="Compact"/>
              <w:jc w:val="right"/>
            </w:pPr>
            <w:r>
              <w:t xml:space="preserve">2019-2020</w:t>
            </w:r>
          </w:p>
        </w:tc>
        <w:tc>
          <w:tcPr/>
          <w:p>
            <w:pPr>
              <w:pStyle w:val="Compact"/>
              <w:jc w:val="right"/>
            </w:pPr>
            <w:r>
              <w:t xml:space="preserve">9,797</w:t>
            </w:r>
          </w:p>
        </w:tc>
        <w:tc>
          <w:tcPr/>
          <w:p>
            <w:pPr>
              <w:pStyle w:val="Compact"/>
              <w:jc w:val="right"/>
            </w:pPr>
            <w:r>
              <w:t xml:space="preserve">9,569</w:t>
            </w:r>
          </w:p>
        </w:tc>
        <w:tc>
          <w:tcPr/>
          <w:p>
            <w:pPr>
              <w:pStyle w:val="Compact"/>
              <w:jc w:val="right"/>
            </w:pPr>
            <w:r>
              <w:t xml:space="preserve">107</w:t>
            </w:r>
          </w:p>
        </w:tc>
        <w:tc>
          <w:tcPr/>
          <w:p>
            <w:pPr>
              <w:pStyle w:val="Compact"/>
              <w:jc w:val="right"/>
            </w:pPr>
            <w:r>
              <w:t xml:space="preserve">9,461</w:t>
            </w:r>
          </w:p>
        </w:tc>
        <w:tc>
          <w:tcPr/>
          <w:p>
            <w:pPr>
              <w:pStyle w:val="Compact"/>
              <w:jc w:val="right"/>
            </w:pPr>
            <w:r>
              <w:t xml:space="preserve">6,825</w:t>
            </w:r>
          </w:p>
        </w:tc>
      </w:tr>
      <w:tr>
        <w:tc>
          <w:tcPr/>
          <w:p>
            <w:pPr>
              <w:pStyle w:val="Compact"/>
            </w:pPr>
            <w:r>
              <w:t xml:space="preserve">25</w:t>
            </w:r>
          </w:p>
        </w:tc>
        <w:tc>
          <w:tcPr/>
          <w:p>
            <w:pPr>
              <w:pStyle w:val="Compact"/>
              <w:jc w:val="right"/>
            </w:pPr>
            <w:r>
              <w:t xml:space="preserve">2020-2021</w:t>
            </w:r>
          </w:p>
        </w:tc>
        <w:tc>
          <w:tcPr/>
          <w:p>
            <w:pPr>
              <w:pStyle w:val="Compact"/>
              <w:jc w:val="right"/>
            </w:pPr>
            <w:r>
              <w:t xml:space="preserve">6,078</w:t>
            </w:r>
          </w:p>
        </w:tc>
        <w:tc>
          <w:tcPr/>
          <w:p>
            <w:pPr>
              <w:pStyle w:val="Compact"/>
              <w:jc w:val="right"/>
            </w:pPr>
            <w:r>
              <w:t xml:space="preserve">5,942</w:t>
            </w:r>
          </w:p>
        </w:tc>
        <w:tc>
          <w:tcPr/>
          <w:p>
            <w:pPr>
              <w:pStyle w:val="Compact"/>
              <w:jc w:val="right"/>
            </w:pPr>
            <w:r>
              <w:t xml:space="preserve">43</w:t>
            </w:r>
          </w:p>
        </w:tc>
        <w:tc>
          <w:tcPr/>
          <w:p>
            <w:pPr>
              <w:pStyle w:val="Compact"/>
              <w:jc w:val="right"/>
            </w:pPr>
            <w:r>
              <w:t xml:space="preserve">5,899</w:t>
            </w:r>
          </w:p>
        </w:tc>
        <w:tc>
          <w:tcPr/>
          <w:p>
            <w:pPr>
              <w:pStyle w:val="Compact"/>
              <w:jc w:val="right"/>
            </w:pPr>
            <w:r>
              <w:t xml:space="preserve">4,244</w:t>
            </w:r>
          </w:p>
        </w:tc>
      </w:tr>
      <w:tr>
        <w:tc>
          <w:tcPr/>
          <w:p>
            <w:pPr>
              <w:pStyle w:val="Compact"/>
            </w:pPr>
            <w:r>
              <w:t xml:space="preserve">26</w:t>
            </w:r>
          </w:p>
        </w:tc>
        <w:tc>
          <w:tcPr/>
          <w:p>
            <w:pPr>
              <w:pStyle w:val="Compact"/>
              <w:jc w:val="right"/>
            </w:pPr>
            <w:r>
              <w:t xml:space="preserve">2021-2022</w:t>
            </w:r>
          </w:p>
        </w:tc>
        <w:tc>
          <w:tcPr/>
          <w:p>
            <w:pPr>
              <w:pStyle w:val="Compact"/>
              <w:jc w:val="right"/>
            </w:pPr>
            <w:r>
              <w:t xml:space="preserve">6,741</w:t>
            </w:r>
          </w:p>
        </w:tc>
        <w:tc>
          <w:tcPr/>
          <w:p>
            <w:pPr>
              <w:pStyle w:val="Compact"/>
              <w:jc w:val="right"/>
            </w:pPr>
            <w:r>
              <w:t xml:space="preserve">6,579</w:t>
            </w:r>
          </w:p>
        </w:tc>
        <w:tc>
          <w:tcPr/>
          <w:p>
            <w:pPr>
              <w:pStyle w:val="Compact"/>
              <w:jc w:val="right"/>
            </w:pPr>
            <w:r>
              <w:t xml:space="preserve">67</w:t>
            </w:r>
          </w:p>
        </w:tc>
        <w:tc>
          <w:tcPr/>
          <w:p>
            <w:pPr>
              <w:pStyle w:val="Compact"/>
              <w:jc w:val="right"/>
            </w:pPr>
            <w:r>
              <w:t xml:space="preserve">6,512</w:t>
            </w:r>
          </w:p>
        </w:tc>
        <w:tc>
          <w:tcPr/>
          <w:p>
            <w:pPr>
              <w:pStyle w:val="Compact"/>
              <w:jc w:val="right"/>
            </w:pPr>
            <w:r>
              <w:t xml:space="preserve">4,931</w:t>
            </w:r>
          </w:p>
        </w:tc>
      </w:tr>
      <w:tr>
        <w:tc>
          <w:tcPr/>
          <w:p>
            <w:pPr>
              <w:pStyle w:val="Compact"/>
            </w:pPr>
            <w:r>
              <w:t xml:space="preserve">27</w:t>
            </w:r>
          </w:p>
        </w:tc>
        <w:tc>
          <w:tcPr/>
          <w:p>
            <w:pPr>
              <w:pStyle w:val="Compact"/>
              <w:jc w:val="right"/>
            </w:pPr>
            <w:r>
              <w:t xml:space="preserve">2022-2023</w:t>
            </w:r>
          </w:p>
        </w:tc>
        <w:tc>
          <w:tcPr/>
          <w:p>
            <w:pPr>
              <w:pStyle w:val="Compact"/>
              <w:jc w:val="right"/>
            </w:pPr>
            <w:r>
              <w:t xml:space="preserve">8,292</w:t>
            </w:r>
          </w:p>
        </w:tc>
        <w:tc>
          <w:tcPr/>
          <w:p>
            <w:pPr>
              <w:pStyle w:val="Compact"/>
              <w:jc w:val="right"/>
            </w:pPr>
            <w:r>
              <w:t xml:space="preserve">8,109</w:t>
            </w:r>
          </w:p>
        </w:tc>
        <w:tc>
          <w:tcPr/>
          <w:p>
            <w:pPr>
              <w:pStyle w:val="Compact"/>
              <w:jc w:val="right"/>
            </w:pPr>
            <w:r>
              <w:t xml:space="preserve">61</w:t>
            </w:r>
          </w:p>
        </w:tc>
        <w:tc>
          <w:tcPr/>
          <w:p>
            <w:pPr>
              <w:pStyle w:val="Compact"/>
              <w:jc w:val="right"/>
            </w:pPr>
            <w:r>
              <w:t xml:space="preserve">8,048</w:t>
            </w:r>
          </w:p>
        </w:tc>
        <w:tc>
          <w:tcPr/>
          <w:p>
            <w:pPr>
              <w:pStyle w:val="Compact"/>
              <w:jc w:val="right"/>
            </w:pPr>
            <w:r>
              <w:t xml:space="preserve">6,004</w:t>
            </w:r>
          </w:p>
        </w:tc>
      </w:tr>
    </w:tbl>
    <w:p>
      <w:pPr>
        <w:pStyle w:val="BodyText"/>
      </w:pPr>
      <w:r>
        <w:rPr>
          <w:b/>
          <w:bCs/>
        </w:rPr>
        <w:t xml:space="preserve">Table A2.</w:t>
      </w:r>
      <w:r>
        <w:t xml:space="preserve"> </w:t>
      </w:r>
      <w:r>
        <w:t xml:space="preserve">Predictive ratio by decile of predicted spending.</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Decile</w:t>
            </w:r>
          </w:p>
        </w:tc>
        <w:tc>
          <w:tcPr/>
          <w:p>
            <w:pPr>
              <w:pStyle w:val="Compact"/>
              <w:jc w:val="right"/>
            </w:pPr>
            <w:r>
              <w:t xml:space="preserve">CANN</w:t>
            </w:r>
          </w:p>
        </w:tc>
        <w:tc>
          <w:tcPr/>
          <w:p>
            <w:pPr>
              <w:pStyle w:val="Compact"/>
              <w:jc w:val="right"/>
            </w:pPr>
            <w:r>
              <w:t xml:space="preserve">Elastic net</w:t>
            </w:r>
          </w:p>
        </w:tc>
        <w:tc>
          <w:tcPr/>
          <w:p>
            <w:pPr>
              <w:pStyle w:val="Compact"/>
              <w:jc w:val="right"/>
            </w:pPr>
            <w:r>
              <w:t xml:space="preserve">LightGBM (Tweedie)</w:t>
            </w:r>
          </w:p>
        </w:tc>
        <w:tc>
          <w:tcPr/>
          <w:p>
            <w:pPr>
              <w:pStyle w:val="Compact"/>
              <w:jc w:val="right"/>
            </w:pPr>
            <w:r>
              <w:t xml:space="preserve">LightGBM (squared error)</w:t>
            </w:r>
          </w:p>
        </w:tc>
        <w:tc>
          <w:tcPr/>
          <w:p>
            <w:pPr>
              <w:pStyle w:val="Compact"/>
              <w:jc w:val="right"/>
            </w:pPr>
            <w:r>
              <w:t xml:space="preserve">Neural network</w:t>
            </w:r>
          </w:p>
        </w:tc>
        <w:tc>
          <w:tcPr/>
          <w:p>
            <w:pPr>
              <w:pStyle w:val="Compact"/>
              <w:jc w:val="right"/>
            </w:pPr>
            <w:r>
              <w:t xml:space="preserve">Random forest</w:t>
            </w:r>
          </w:p>
        </w:tc>
        <w:tc>
          <w:tcPr/>
          <w:p>
            <w:pPr>
              <w:pStyle w:val="Compact"/>
              <w:jc w:val="right"/>
            </w:pPr>
            <w:r>
              <w:t xml:space="preserve">Tweedie GLM</w:t>
            </w:r>
          </w:p>
        </w:tc>
        <w:tc>
          <w:tcPr/>
          <w:p>
            <w:pPr>
              <w:pStyle w:val="Compact"/>
              <w:jc w:val="right"/>
            </w:pPr>
            <w:r>
              <w:t xml:space="preserve">Two-part</w:t>
            </w:r>
          </w:p>
        </w:tc>
        <w:tc>
          <w:tcPr/>
          <w:p>
            <w:pPr>
              <w:pStyle w:val="Compact"/>
              <w:jc w:val="right"/>
            </w:pPr>
            <w:r>
              <w:t xml:space="preserve">WLS</w:t>
            </w:r>
          </w:p>
        </w:tc>
      </w:tr>
      <w:tr>
        <w:tc>
          <w:tcPr/>
          <w:p>
            <w:pPr>
              <w:pStyle w:val="Compact"/>
            </w:pPr>
            <w:r>
              <w:t xml:space="preserve">1</w:t>
            </w:r>
          </w:p>
        </w:tc>
        <w:tc>
          <w:tcPr/>
          <w:p>
            <w:pPr>
              <w:pStyle w:val="Compact"/>
              <w:jc w:val="right"/>
            </w:pPr>
            <w:r>
              <w:t xml:space="preserve">1.00</w:t>
            </w:r>
          </w:p>
        </w:tc>
        <w:tc>
          <w:tcPr/>
          <w:p>
            <w:pPr>
              <w:pStyle w:val="Compact"/>
              <w:jc w:val="right"/>
            </w:pPr>
            <w:r>
              <w:t xml:space="preserve">-0.86</w:t>
            </w:r>
          </w:p>
        </w:tc>
        <w:tc>
          <w:tcPr/>
          <w:p>
            <w:pPr>
              <w:pStyle w:val="Compact"/>
              <w:jc w:val="right"/>
            </w:pPr>
            <w:r>
              <w:t xml:space="preserve">1.02</w:t>
            </w:r>
          </w:p>
        </w:tc>
        <w:tc>
          <w:tcPr/>
          <w:p>
            <w:pPr>
              <w:pStyle w:val="Compact"/>
              <w:jc w:val="right"/>
            </w:pPr>
            <w:r>
              <w:t xml:space="preserve">1.58</w:t>
            </w:r>
          </w:p>
        </w:tc>
        <w:tc>
          <w:tcPr/>
          <w:p>
            <w:pPr>
              <w:pStyle w:val="Compact"/>
              <w:jc w:val="right"/>
            </w:pPr>
            <w:r>
              <w:t xml:space="preserve">1.00</w:t>
            </w:r>
          </w:p>
        </w:tc>
        <w:tc>
          <w:tcPr/>
          <w:p>
            <w:pPr>
              <w:pStyle w:val="Compact"/>
              <w:jc w:val="right"/>
            </w:pPr>
            <w:r>
              <w:t xml:space="preserve">0.75</w:t>
            </w:r>
          </w:p>
        </w:tc>
        <w:tc>
          <w:tcPr/>
          <w:p>
            <w:pPr>
              <w:pStyle w:val="Compact"/>
              <w:jc w:val="right"/>
            </w:pPr>
            <w:r>
              <w:t xml:space="preserve">1.00</w:t>
            </w:r>
          </w:p>
        </w:tc>
        <w:tc>
          <w:tcPr/>
          <w:p>
            <w:pPr>
              <w:pStyle w:val="Compact"/>
              <w:jc w:val="right"/>
            </w:pPr>
            <w:r>
              <w:t xml:space="preserve">0.98</w:t>
            </w:r>
          </w:p>
        </w:tc>
        <w:tc>
          <w:tcPr/>
          <w:p>
            <w:pPr>
              <w:pStyle w:val="Compact"/>
              <w:jc w:val="right"/>
            </w:pPr>
            <w:r>
              <w:t xml:space="preserve">-1.91</w:t>
            </w:r>
          </w:p>
        </w:tc>
      </w:tr>
      <w:tr>
        <w:tc>
          <w:tcPr/>
          <w:p>
            <w:pPr>
              <w:pStyle w:val="Compact"/>
            </w:pPr>
            <w:r>
              <w:t xml:space="preserve">2</w:t>
            </w:r>
          </w:p>
        </w:tc>
        <w:tc>
          <w:tcPr/>
          <w:p>
            <w:pPr>
              <w:pStyle w:val="Compact"/>
              <w:jc w:val="right"/>
            </w:pPr>
            <w:r>
              <w:t xml:space="preserve">0.86</w:t>
            </w:r>
          </w:p>
        </w:tc>
        <w:tc>
          <w:tcPr/>
          <w:p>
            <w:pPr>
              <w:pStyle w:val="Compact"/>
              <w:jc w:val="right"/>
            </w:pPr>
            <w:r>
              <w:t xml:space="preserve">0.18</w:t>
            </w:r>
          </w:p>
        </w:tc>
        <w:tc>
          <w:tcPr/>
          <w:p>
            <w:pPr>
              <w:pStyle w:val="Compact"/>
              <w:jc w:val="right"/>
            </w:pPr>
            <w:r>
              <w:t xml:space="preserve">1.04</w:t>
            </w:r>
          </w:p>
        </w:tc>
        <w:tc>
          <w:tcPr/>
          <w:p>
            <w:pPr>
              <w:pStyle w:val="Compact"/>
              <w:jc w:val="right"/>
            </w:pPr>
            <w:r>
              <w:t xml:space="preserve">1.54</w:t>
            </w:r>
          </w:p>
        </w:tc>
        <w:tc>
          <w:tcPr/>
          <w:p>
            <w:pPr>
              <w:pStyle w:val="Compact"/>
              <w:jc w:val="right"/>
            </w:pPr>
            <w:r>
              <w:t xml:space="preserve">1.02</w:t>
            </w:r>
          </w:p>
        </w:tc>
        <w:tc>
          <w:tcPr/>
          <w:p>
            <w:pPr>
              <w:pStyle w:val="Compact"/>
              <w:jc w:val="right"/>
            </w:pPr>
            <w:r>
              <w:t xml:space="preserve">1.02</w:t>
            </w:r>
          </w:p>
        </w:tc>
        <w:tc>
          <w:tcPr/>
          <w:p>
            <w:pPr>
              <w:pStyle w:val="Compact"/>
              <w:jc w:val="right"/>
            </w:pPr>
            <w:r>
              <w:t xml:space="preserve">0.89</w:t>
            </w:r>
          </w:p>
        </w:tc>
        <w:tc>
          <w:tcPr/>
          <w:p>
            <w:pPr>
              <w:pStyle w:val="Compact"/>
              <w:jc w:val="right"/>
            </w:pPr>
            <w:r>
              <w:t xml:space="preserve">1.25</w:t>
            </w:r>
          </w:p>
        </w:tc>
        <w:tc>
          <w:tcPr/>
          <w:p>
            <w:pPr>
              <w:pStyle w:val="Compact"/>
              <w:jc w:val="right"/>
            </w:pPr>
            <w:r>
              <w:t xml:space="preserve">-0.06</w:t>
            </w:r>
          </w:p>
        </w:tc>
      </w:tr>
      <w:tr>
        <w:tc>
          <w:tcPr/>
          <w:p>
            <w:pPr>
              <w:pStyle w:val="Compact"/>
            </w:pPr>
            <w:r>
              <w:t xml:space="preserve">3</w:t>
            </w:r>
          </w:p>
        </w:tc>
        <w:tc>
          <w:tcPr/>
          <w:p>
            <w:pPr>
              <w:pStyle w:val="Compact"/>
              <w:jc w:val="right"/>
            </w:pPr>
            <w:r>
              <w:t xml:space="preserve">1.01</w:t>
            </w:r>
          </w:p>
        </w:tc>
        <w:tc>
          <w:tcPr/>
          <w:p>
            <w:pPr>
              <w:pStyle w:val="Compact"/>
              <w:jc w:val="right"/>
            </w:pPr>
            <w:r>
              <w:t xml:space="preserve">0.68</w:t>
            </w:r>
          </w:p>
        </w:tc>
        <w:tc>
          <w:tcPr/>
          <w:p>
            <w:pPr>
              <w:pStyle w:val="Compact"/>
              <w:jc w:val="right"/>
            </w:pPr>
            <w:r>
              <w:t xml:space="preserve">1.00</w:t>
            </w:r>
          </w:p>
        </w:tc>
        <w:tc>
          <w:tcPr/>
          <w:p>
            <w:pPr>
              <w:pStyle w:val="Compact"/>
              <w:jc w:val="right"/>
            </w:pPr>
            <w:r>
              <w:t xml:space="preserve">1.10</w:t>
            </w:r>
          </w:p>
        </w:tc>
        <w:tc>
          <w:tcPr/>
          <w:p>
            <w:pPr>
              <w:pStyle w:val="Compact"/>
              <w:jc w:val="right"/>
            </w:pPr>
            <w:r>
              <w:t xml:space="preserve">0.92</w:t>
            </w:r>
          </w:p>
        </w:tc>
        <w:tc>
          <w:tcPr/>
          <w:p>
            <w:pPr>
              <w:pStyle w:val="Compact"/>
              <w:jc w:val="right"/>
            </w:pPr>
            <w:r>
              <w:t xml:space="preserve">1.06</w:t>
            </w:r>
          </w:p>
        </w:tc>
        <w:tc>
          <w:tcPr/>
          <w:p>
            <w:pPr>
              <w:pStyle w:val="Compact"/>
              <w:jc w:val="right"/>
            </w:pPr>
            <w:r>
              <w:t xml:space="preserve">1.01</w:t>
            </w:r>
          </w:p>
        </w:tc>
        <w:tc>
          <w:tcPr/>
          <w:p>
            <w:pPr>
              <w:pStyle w:val="Compact"/>
              <w:jc w:val="right"/>
            </w:pPr>
            <w:r>
              <w:t xml:space="preserve">1.41</w:t>
            </w:r>
          </w:p>
        </w:tc>
        <w:tc>
          <w:tcPr/>
          <w:p>
            <w:pPr>
              <w:pStyle w:val="Compact"/>
              <w:jc w:val="right"/>
            </w:pPr>
            <w:r>
              <w:t xml:space="preserve">0.61</w:t>
            </w:r>
          </w:p>
        </w:tc>
      </w:tr>
      <w:tr>
        <w:tc>
          <w:tcPr/>
          <w:p>
            <w:pPr>
              <w:pStyle w:val="Compact"/>
            </w:pPr>
            <w:r>
              <w:t xml:space="preserve">4</w:t>
            </w:r>
          </w:p>
        </w:tc>
        <w:tc>
          <w:tcPr/>
          <w:p>
            <w:pPr>
              <w:pStyle w:val="Compact"/>
              <w:jc w:val="right"/>
            </w:pPr>
            <w:r>
              <w:t xml:space="preserve">1.10</w:t>
            </w:r>
          </w:p>
        </w:tc>
        <w:tc>
          <w:tcPr/>
          <w:p>
            <w:pPr>
              <w:pStyle w:val="Compact"/>
              <w:jc w:val="right"/>
            </w:pPr>
            <w:r>
              <w:t xml:space="preserve">0.93</w:t>
            </w:r>
          </w:p>
        </w:tc>
        <w:tc>
          <w:tcPr/>
          <w:p>
            <w:pPr>
              <w:pStyle w:val="Compact"/>
              <w:jc w:val="right"/>
            </w:pPr>
            <w:r>
              <w:t xml:space="preserve">1.08</w:t>
            </w:r>
          </w:p>
        </w:tc>
        <w:tc>
          <w:tcPr/>
          <w:p>
            <w:pPr>
              <w:pStyle w:val="Compact"/>
              <w:jc w:val="right"/>
            </w:pPr>
            <w:r>
              <w:t xml:space="preserve">1.03</w:t>
            </w:r>
          </w:p>
        </w:tc>
        <w:tc>
          <w:tcPr/>
          <w:p>
            <w:pPr>
              <w:pStyle w:val="Compact"/>
              <w:jc w:val="right"/>
            </w:pPr>
            <w:r>
              <w:t xml:space="preserve">1.01</w:t>
            </w:r>
          </w:p>
        </w:tc>
        <w:tc>
          <w:tcPr/>
          <w:p>
            <w:pPr>
              <w:pStyle w:val="Compact"/>
              <w:jc w:val="right"/>
            </w:pPr>
            <w:r>
              <w:t xml:space="preserve">1.02</w:t>
            </w:r>
          </w:p>
        </w:tc>
        <w:tc>
          <w:tcPr/>
          <w:p>
            <w:pPr>
              <w:pStyle w:val="Compact"/>
              <w:jc w:val="right"/>
            </w:pPr>
            <w:r>
              <w:t xml:space="preserve">1.11</w:t>
            </w:r>
          </w:p>
        </w:tc>
        <w:tc>
          <w:tcPr/>
          <w:p>
            <w:pPr>
              <w:pStyle w:val="Compact"/>
              <w:jc w:val="right"/>
            </w:pPr>
            <w:r>
              <w:t xml:space="preserve">1.42</w:t>
            </w:r>
          </w:p>
        </w:tc>
        <w:tc>
          <w:tcPr/>
          <w:p>
            <w:pPr>
              <w:pStyle w:val="Compact"/>
              <w:jc w:val="right"/>
            </w:pPr>
            <w:r>
              <w:t xml:space="preserve">0.93</w:t>
            </w:r>
          </w:p>
        </w:tc>
      </w:tr>
      <w:tr>
        <w:tc>
          <w:tcPr/>
          <w:p>
            <w:pPr>
              <w:pStyle w:val="Compact"/>
            </w:pPr>
            <w:r>
              <w:t xml:space="preserve">5</w:t>
            </w:r>
          </w:p>
        </w:tc>
        <w:tc>
          <w:tcPr/>
          <w:p>
            <w:pPr>
              <w:pStyle w:val="Compact"/>
              <w:jc w:val="right"/>
            </w:pPr>
            <w:r>
              <w:t xml:space="preserve">1.03</w:t>
            </w:r>
          </w:p>
        </w:tc>
        <w:tc>
          <w:tcPr/>
          <w:p>
            <w:pPr>
              <w:pStyle w:val="Compact"/>
              <w:jc w:val="right"/>
            </w:pPr>
            <w:r>
              <w:t xml:space="preserve">1.24</w:t>
            </w:r>
          </w:p>
        </w:tc>
        <w:tc>
          <w:tcPr/>
          <w:p>
            <w:pPr>
              <w:pStyle w:val="Compact"/>
              <w:jc w:val="right"/>
            </w:pPr>
            <w:r>
              <w:t xml:space="preserve">0.95</w:t>
            </w:r>
          </w:p>
        </w:tc>
        <w:tc>
          <w:tcPr/>
          <w:p>
            <w:pPr>
              <w:pStyle w:val="Compact"/>
              <w:jc w:val="right"/>
            </w:pPr>
            <w:r>
              <w:t xml:space="preserve">0.99</w:t>
            </w:r>
          </w:p>
        </w:tc>
        <w:tc>
          <w:tcPr/>
          <w:p>
            <w:pPr>
              <w:pStyle w:val="Compact"/>
              <w:jc w:val="right"/>
            </w:pPr>
            <w:r>
              <w:t xml:space="preserve">0.92</w:t>
            </w:r>
          </w:p>
        </w:tc>
        <w:tc>
          <w:tcPr/>
          <w:p>
            <w:pPr>
              <w:pStyle w:val="Compact"/>
              <w:jc w:val="right"/>
            </w:pPr>
            <w:r>
              <w:t xml:space="preserve">1.06</w:t>
            </w:r>
          </w:p>
        </w:tc>
        <w:tc>
          <w:tcPr/>
          <w:p>
            <w:pPr>
              <w:pStyle w:val="Compact"/>
              <w:jc w:val="right"/>
            </w:pPr>
            <w:r>
              <w:t xml:space="preserve">1.04</w:t>
            </w:r>
          </w:p>
        </w:tc>
        <w:tc>
          <w:tcPr/>
          <w:p>
            <w:pPr>
              <w:pStyle w:val="Compact"/>
              <w:jc w:val="right"/>
            </w:pPr>
            <w:r>
              <w:t xml:space="preserve">1.37</w:t>
            </w:r>
          </w:p>
        </w:tc>
        <w:tc>
          <w:tcPr/>
          <w:p>
            <w:pPr>
              <w:pStyle w:val="Compact"/>
              <w:jc w:val="right"/>
            </w:pPr>
            <w:r>
              <w:t xml:space="preserve">1.29</w:t>
            </w:r>
          </w:p>
        </w:tc>
      </w:tr>
      <w:tr>
        <w:tc>
          <w:tcPr/>
          <w:p>
            <w:pPr>
              <w:pStyle w:val="Compact"/>
            </w:pPr>
            <w:r>
              <w:t xml:space="preserve">6</w:t>
            </w:r>
          </w:p>
        </w:tc>
        <w:tc>
          <w:tcPr/>
          <w:p>
            <w:pPr>
              <w:pStyle w:val="Compact"/>
              <w:jc w:val="right"/>
            </w:pPr>
            <w:r>
              <w:t xml:space="preserve">0.99</w:t>
            </w:r>
          </w:p>
        </w:tc>
        <w:tc>
          <w:tcPr/>
          <w:p>
            <w:pPr>
              <w:pStyle w:val="Compact"/>
              <w:jc w:val="right"/>
            </w:pPr>
            <w:r>
              <w:t xml:space="preserve">1.44</w:t>
            </w:r>
          </w:p>
        </w:tc>
        <w:tc>
          <w:tcPr/>
          <w:p>
            <w:pPr>
              <w:pStyle w:val="Compact"/>
              <w:jc w:val="right"/>
            </w:pPr>
            <w:r>
              <w:t xml:space="preserve">0.93</w:t>
            </w:r>
          </w:p>
        </w:tc>
        <w:tc>
          <w:tcPr/>
          <w:p>
            <w:pPr>
              <w:pStyle w:val="Compact"/>
              <w:jc w:val="right"/>
            </w:pPr>
            <w:r>
              <w:t xml:space="preserve">1.01</w:t>
            </w:r>
          </w:p>
        </w:tc>
        <w:tc>
          <w:tcPr/>
          <w:p>
            <w:pPr>
              <w:pStyle w:val="Compact"/>
              <w:jc w:val="right"/>
            </w:pPr>
            <w:r>
              <w:t xml:space="preserve">0.97</w:t>
            </w:r>
          </w:p>
        </w:tc>
        <w:tc>
          <w:tcPr/>
          <w:p>
            <w:pPr>
              <w:pStyle w:val="Compact"/>
              <w:jc w:val="right"/>
            </w:pPr>
            <w:r>
              <w:t xml:space="preserve">0.94</w:t>
            </w:r>
          </w:p>
        </w:tc>
        <w:tc>
          <w:tcPr/>
          <w:p>
            <w:pPr>
              <w:pStyle w:val="Compact"/>
              <w:jc w:val="right"/>
            </w:pPr>
            <w:r>
              <w:t xml:space="preserve">0.98</w:t>
            </w:r>
          </w:p>
        </w:tc>
        <w:tc>
          <w:tcPr/>
          <w:p>
            <w:pPr>
              <w:pStyle w:val="Compact"/>
              <w:jc w:val="right"/>
            </w:pPr>
            <w:r>
              <w:t xml:space="preserve">1.07</w:t>
            </w:r>
          </w:p>
        </w:tc>
        <w:tc>
          <w:tcPr/>
          <w:p>
            <w:pPr>
              <w:pStyle w:val="Compact"/>
              <w:jc w:val="right"/>
            </w:pPr>
            <w:r>
              <w:t xml:space="preserve">1.37</w:t>
            </w:r>
          </w:p>
        </w:tc>
      </w:tr>
      <w:tr>
        <w:tc>
          <w:tcPr/>
          <w:p>
            <w:pPr>
              <w:pStyle w:val="Compact"/>
            </w:pPr>
            <w:r>
              <w:t xml:space="preserve">7</w:t>
            </w:r>
          </w:p>
        </w:tc>
        <w:tc>
          <w:tcPr/>
          <w:p>
            <w:pPr>
              <w:pStyle w:val="Compact"/>
              <w:jc w:val="right"/>
            </w:pPr>
            <w:r>
              <w:t xml:space="preserve">1.05</w:t>
            </w:r>
          </w:p>
        </w:tc>
        <w:tc>
          <w:tcPr/>
          <w:p>
            <w:pPr>
              <w:pStyle w:val="Compact"/>
              <w:jc w:val="right"/>
            </w:pPr>
            <w:r>
              <w:t xml:space="preserve">1.27</w:t>
            </w:r>
          </w:p>
        </w:tc>
        <w:tc>
          <w:tcPr/>
          <w:p>
            <w:pPr>
              <w:pStyle w:val="Compact"/>
              <w:jc w:val="right"/>
            </w:pPr>
            <w:r>
              <w:t xml:space="preserve">1.03</w:t>
            </w:r>
          </w:p>
        </w:tc>
        <w:tc>
          <w:tcPr/>
          <w:p>
            <w:pPr>
              <w:pStyle w:val="Compact"/>
              <w:jc w:val="right"/>
            </w:pPr>
            <w:r>
              <w:t xml:space="preserve">0.96</w:t>
            </w:r>
          </w:p>
        </w:tc>
        <w:tc>
          <w:tcPr/>
          <w:p>
            <w:pPr>
              <w:pStyle w:val="Compact"/>
              <w:jc w:val="right"/>
            </w:pPr>
            <w:r>
              <w:t xml:space="preserve">0.97</w:t>
            </w:r>
          </w:p>
        </w:tc>
        <w:tc>
          <w:tcPr/>
          <w:p>
            <w:pPr>
              <w:pStyle w:val="Compact"/>
              <w:jc w:val="right"/>
            </w:pPr>
            <w:r>
              <w:t xml:space="preserve">1.06</w:t>
            </w:r>
          </w:p>
        </w:tc>
        <w:tc>
          <w:tcPr/>
          <w:p>
            <w:pPr>
              <w:pStyle w:val="Compact"/>
              <w:jc w:val="right"/>
            </w:pPr>
            <w:r>
              <w:t xml:space="preserve">1.07</w:t>
            </w:r>
          </w:p>
        </w:tc>
        <w:tc>
          <w:tcPr/>
          <w:p>
            <w:pPr>
              <w:pStyle w:val="Compact"/>
              <w:jc w:val="right"/>
            </w:pPr>
            <w:r>
              <w:t xml:space="preserve">0.97</w:t>
            </w:r>
          </w:p>
        </w:tc>
        <w:tc>
          <w:tcPr/>
          <w:p>
            <w:pPr>
              <w:pStyle w:val="Compact"/>
              <w:jc w:val="right"/>
            </w:pPr>
            <w:r>
              <w:t xml:space="preserve">1.36</w:t>
            </w:r>
          </w:p>
        </w:tc>
      </w:tr>
      <w:tr>
        <w:tc>
          <w:tcPr/>
          <w:p>
            <w:pPr>
              <w:pStyle w:val="Compact"/>
            </w:pPr>
            <w:r>
              <w:t xml:space="preserve">8</w:t>
            </w:r>
          </w:p>
        </w:tc>
        <w:tc>
          <w:tcPr/>
          <w:p>
            <w:pPr>
              <w:pStyle w:val="Compact"/>
              <w:jc w:val="right"/>
            </w:pPr>
            <w:r>
              <w:t xml:space="preserve">0.99</w:t>
            </w:r>
          </w:p>
        </w:tc>
        <w:tc>
          <w:tcPr/>
          <w:p>
            <w:pPr>
              <w:pStyle w:val="Compact"/>
              <w:jc w:val="right"/>
            </w:pPr>
            <w:r>
              <w:t xml:space="preserve">1.17</w:t>
            </w:r>
          </w:p>
        </w:tc>
        <w:tc>
          <w:tcPr/>
          <w:p>
            <w:pPr>
              <w:pStyle w:val="Compact"/>
              <w:jc w:val="right"/>
            </w:pPr>
            <w:r>
              <w:t xml:space="preserve">0.99</w:t>
            </w:r>
          </w:p>
        </w:tc>
        <w:tc>
          <w:tcPr/>
          <w:p>
            <w:pPr>
              <w:pStyle w:val="Compact"/>
              <w:jc w:val="right"/>
            </w:pPr>
            <w:r>
              <w:t xml:space="preserve">0.95</w:t>
            </w:r>
          </w:p>
        </w:tc>
        <w:tc>
          <w:tcPr/>
          <w:p>
            <w:pPr>
              <w:pStyle w:val="Compact"/>
              <w:jc w:val="right"/>
            </w:pPr>
            <w:r>
              <w:t xml:space="preserve">0.96</w:t>
            </w:r>
          </w:p>
        </w:tc>
        <w:tc>
          <w:tcPr/>
          <w:p>
            <w:pPr>
              <w:pStyle w:val="Compact"/>
              <w:jc w:val="right"/>
            </w:pPr>
            <w:r>
              <w:t xml:space="preserve">1.03</w:t>
            </w:r>
          </w:p>
        </w:tc>
        <w:tc>
          <w:tcPr/>
          <w:p>
            <w:pPr>
              <w:pStyle w:val="Compact"/>
              <w:jc w:val="right"/>
            </w:pPr>
            <w:r>
              <w:t xml:space="preserve">0.99</w:t>
            </w:r>
          </w:p>
        </w:tc>
        <w:tc>
          <w:tcPr/>
          <w:p>
            <w:pPr>
              <w:pStyle w:val="Compact"/>
              <w:jc w:val="right"/>
            </w:pPr>
            <w:r>
              <w:t xml:space="preserve">0.88</w:t>
            </w:r>
          </w:p>
        </w:tc>
        <w:tc>
          <w:tcPr/>
          <w:p>
            <w:pPr>
              <w:pStyle w:val="Compact"/>
              <w:jc w:val="right"/>
            </w:pPr>
            <w:r>
              <w:t xml:space="preserve">1.34</w:t>
            </w:r>
          </w:p>
        </w:tc>
      </w:tr>
      <w:tr>
        <w:tc>
          <w:tcPr/>
          <w:p>
            <w:pPr>
              <w:pStyle w:val="Compact"/>
            </w:pPr>
            <w:r>
              <w:t xml:space="preserve">9</w:t>
            </w:r>
          </w:p>
        </w:tc>
        <w:tc>
          <w:tcPr/>
          <w:p>
            <w:pPr>
              <w:pStyle w:val="Compact"/>
              <w:jc w:val="right"/>
            </w:pPr>
            <w:r>
              <w:t xml:space="preserve">1.05</w:t>
            </w:r>
          </w:p>
        </w:tc>
        <w:tc>
          <w:tcPr/>
          <w:p>
            <w:pPr>
              <w:pStyle w:val="Compact"/>
              <w:jc w:val="right"/>
            </w:pPr>
            <w:r>
              <w:t xml:space="preserve">0.96</w:t>
            </w:r>
          </w:p>
        </w:tc>
        <w:tc>
          <w:tcPr/>
          <w:p>
            <w:pPr>
              <w:pStyle w:val="Compact"/>
              <w:jc w:val="right"/>
            </w:pPr>
            <w:r>
              <w:t xml:space="preserve">1.04</w:t>
            </w:r>
          </w:p>
        </w:tc>
        <w:tc>
          <w:tcPr/>
          <w:p>
            <w:pPr>
              <w:pStyle w:val="Compact"/>
              <w:jc w:val="right"/>
            </w:pPr>
            <w:r>
              <w:t xml:space="preserve">1.01</w:t>
            </w:r>
          </w:p>
        </w:tc>
        <w:tc>
          <w:tcPr/>
          <w:p>
            <w:pPr>
              <w:pStyle w:val="Compact"/>
              <w:jc w:val="right"/>
            </w:pPr>
            <w:r>
              <w:t xml:space="preserve">1.03</w:t>
            </w:r>
          </w:p>
        </w:tc>
        <w:tc>
          <w:tcPr/>
          <w:p>
            <w:pPr>
              <w:pStyle w:val="Compact"/>
              <w:jc w:val="right"/>
            </w:pPr>
            <w:r>
              <w:t xml:space="preserve">1.03</w:t>
            </w:r>
          </w:p>
        </w:tc>
        <w:tc>
          <w:tcPr/>
          <w:p>
            <w:pPr>
              <w:pStyle w:val="Compact"/>
              <w:jc w:val="right"/>
            </w:pPr>
            <w:r>
              <w:t xml:space="preserve">1.05</w:t>
            </w:r>
          </w:p>
        </w:tc>
        <w:tc>
          <w:tcPr/>
          <w:p>
            <w:pPr>
              <w:pStyle w:val="Compact"/>
              <w:jc w:val="right"/>
            </w:pPr>
            <w:r>
              <w:t xml:space="preserve">0.89</w:t>
            </w:r>
          </w:p>
        </w:tc>
        <w:tc>
          <w:tcPr/>
          <w:p>
            <w:pPr>
              <w:pStyle w:val="Compact"/>
              <w:jc w:val="right"/>
            </w:pPr>
            <w:r>
              <w:t xml:space="preserve">1.15</w:t>
            </w:r>
          </w:p>
        </w:tc>
      </w:tr>
      <w:tr>
        <w:tc>
          <w:tcPr/>
          <w:p>
            <w:pPr>
              <w:pStyle w:val="Compact"/>
            </w:pPr>
            <w:r>
              <w:t xml:space="preserve">10</w:t>
            </w:r>
          </w:p>
        </w:tc>
        <w:tc>
          <w:tcPr/>
          <w:p>
            <w:pPr>
              <w:pStyle w:val="Compact"/>
              <w:jc w:val="right"/>
            </w:pPr>
            <w:r>
              <w:t xml:space="preserve">0.98</w:t>
            </w:r>
          </w:p>
        </w:tc>
        <w:tc>
          <w:tcPr/>
          <w:p>
            <w:pPr>
              <w:pStyle w:val="Compact"/>
              <w:jc w:val="right"/>
            </w:pPr>
            <w:r>
              <w:t xml:space="preserve">0.93</w:t>
            </w:r>
          </w:p>
        </w:tc>
        <w:tc>
          <w:tcPr/>
          <w:p>
            <w:pPr>
              <w:pStyle w:val="Compact"/>
              <w:jc w:val="right"/>
            </w:pPr>
            <w:r>
              <w:t xml:space="preserve">0.98</w:t>
            </w:r>
          </w:p>
        </w:tc>
        <w:tc>
          <w:tcPr/>
          <w:p>
            <w:pPr>
              <w:pStyle w:val="Compact"/>
              <w:jc w:val="right"/>
            </w:pPr>
            <w:r>
              <w:t xml:space="preserve">0.97</w:t>
            </w:r>
          </w:p>
        </w:tc>
        <w:tc>
          <w:tcPr/>
          <w:p>
            <w:pPr>
              <w:pStyle w:val="Compact"/>
              <w:jc w:val="right"/>
            </w:pPr>
            <w:r>
              <w:t xml:space="preserve">0.97</w:t>
            </w:r>
          </w:p>
        </w:tc>
        <w:tc>
          <w:tcPr/>
          <w:p>
            <w:pPr>
              <w:pStyle w:val="Compact"/>
              <w:jc w:val="right"/>
            </w:pPr>
            <w:r>
              <w:t xml:space="preserve">0.97</w:t>
            </w:r>
          </w:p>
        </w:tc>
        <w:tc>
          <w:tcPr/>
          <w:p>
            <w:pPr>
              <w:pStyle w:val="Compact"/>
              <w:jc w:val="right"/>
            </w:pPr>
            <w:r>
              <w:t xml:space="preserve">0.97</w:t>
            </w:r>
          </w:p>
        </w:tc>
        <w:tc>
          <w:tcPr/>
          <w:p>
            <w:pPr>
              <w:pStyle w:val="Compact"/>
              <w:jc w:val="right"/>
            </w:pPr>
            <w:r>
              <w:t xml:space="preserve">0.99</w:t>
            </w:r>
          </w:p>
        </w:tc>
        <w:tc>
          <w:tcPr/>
          <w:p>
            <w:pPr>
              <w:pStyle w:val="Compact"/>
              <w:jc w:val="right"/>
            </w:pPr>
            <w:r>
              <w:t xml:space="preserve">0.93</w:t>
            </w:r>
          </w:p>
        </w:tc>
      </w:tr>
    </w:tbl>
    <w:p>
      <w:pPr>
        <w:pStyle w:val="BodyText"/>
      </w:pPr>
      <w:r>
        <w:rPr>
          <w:b/>
          <w:bCs/>
        </w:rPr>
        <w:t xml:space="preserve">Table A3.</w:t>
      </w:r>
      <w:r>
        <w:t xml:space="preserve"> </w:t>
      </w:r>
      <w:r>
        <w:t xml:space="preserve">Coding sensitivity, full grid.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Model</w:t>
            </w:r>
          </w:p>
        </w:tc>
        <w:tc>
          <w:tcPr/>
          <w:p>
            <w:pPr>
              <w:pStyle w:val="Compact"/>
              <w:jc w:val="right"/>
            </w:pPr>
            <w:r>
              <w:t xml:space="preserve">Pool</w:t>
            </w:r>
          </w:p>
        </w:tc>
        <w:tc>
          <w:tcPr/>
          <w:p>
            <w:pPr>
              <w:pStyle w:val="Compact"/>
              <w:jc w:val="right"/>
            </w:pPr>
            <w:r>
              <w:t xml:space="preserve">Share affected</w:t>
            </w:r>
          </w:p>
        </w:tc>
        <w:tc>
          <w:tcPr/>
          <w:p>
            <w:pPr>
              <w:pStyle w:val="Compact"/>
              <w:jc w:val="right"/>
            </w:pPr>
            <w:r>
              <w:t xml:space="preserve">Codes added</w:t>
            </w:r>
          </w:p>
        </w:tc>
        <w:tc>
          <w:tcPr/>
          <w:p>
            <w:pPr>
              <w:pStyle w:val="Compact"/>
              <w:jc w:val="right"/>
            </w:pPr>
            <w:r>
              <w:t xml:space="preserve">Total rise</w:t>
            </w:r>
          </w:p>
        </w:tc>
        <w:tc>
          <w:tcPr/>
          <w:p>
            <w:pPr>
              <w:pStyle w:val="Compact"/>
              <w:jc w:val="right"/>
            </w:pPr>
            <w:r>
              <w:t xml:space="preserve">$ per code</w:t>
            </w:r>
          </w:p>
        </w:tc>
      </w:tr>
      <w:tr>
        <w:tc>
          <w:tcPr/>
          <w:p>
            <w:pPr>
              <w:pStyle w:val="Compac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0.26%</w:t>
            </w:r>
          </w:p>
        </w:tc>
        <w:tc>
          <w:tcPr/>
          <w:p>
            <w:pPr>
              <w:pStyle w:val="Compact"/>
              <w:jc w:val="right"/>
            </w:pPr>
            <w:r>
              <w:t xml:space="preserve">$394</w:t>
            </w:r>
          </w:p>
        </w:tc>
      </w:tr>
      <w:tr>
        <w:tc>
          <w:tcPr/>
          <w:p>
            <w:pPr>
              <w:pStyle w:val="Compac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0.53%</w:t>
            </w:r>
          </w:p>
        </w:tc>
        <w:tc>
          <w:tcPr/>
          <w:p>
            <w:pPr>
              <w:pStyle w:val="Compact"/>
              <w:jc w:val="right"/>
            </w:pPr>
            <w:r>
              <w:t xml:space="preserve">$408</w:t>
            </w:r>
          </w:p>
        </w:tc>
      </w:tr>
      <w:tr>
        <w:tc>
          <w:tcPr/>
          <w:p>
            <w:pPr>
              <w:pStyle w:val="Compac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0.52%</w:t>
            </w:r>
          </w:p>
        </w:tc>
        <w:tc>
          <w:tcPr/>
          <w:p>
            <w:pPr>
              <w:pStyle w:val="Compact"/>
              <w:jc w:val="right"/>
            </w:pPr>
            <w:r>
              <w:t xml:space="preserve">$395</w:t>
            </w:r>
          </w:p>
        </w:tc>
      </w:tr>
      <w:tr>
        <w:tc>
          <w:tcPr/>
          <w:p>
            <w:pPr>
              <w:pStyle w:val="Compac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1.05%</w:t>
            </w:r>
          </w:p>
        </w:tc>
        <w:tc>
          <w:tcPr/>
          <w:p>
            <w:pPr>
              <w:pStyle w:val="Compact"/>
              <w:jc w:val="right"/>
            </w:pPr>
            <w:r>
              <w:t xml:space="preserve">$393</w:t>
            </w:r>
          </w:p>
        </w:tc>
      </w:tr>
      <w:tr>
        <w:tc>
          <w:tcPr/>
          <w:p>
            <w:pPr>
              <w:pStyle w:val="Compac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1.16%</w:t>
            </w:r>
          </w:p>
        </w:tc>
        <w:tc>
          <w:tcPr/>
          <w:p>
            <w:pPr>
              <w:pStyle w:val="Compact"/>
              <w:jc w:val="right"/>
            </w:pPr>
            <w:r>
              <w:t xml:space="preserve">$351</w:t>
            </w:r>
          </w:p>
        </w:tc>
      </w:tr>
      <w:tr>
        <w:tc>
          <w:tcPr/>
          <w:p>
            <w:pPr>
              <w:pStyle w:val="Compac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2.50%</w:t>
            </w:r>
          </w:p>
        </w:tc>
        <w:tc>
          <w:tcPr/>
          <w:p>
            <w:pPr>
              <w:pStyle w:val="Compact"/>
              <w:jc w:val="right"/>
            </w:pPr>
            <w:r>
              <w:t xml:space="preserve">$376</w:t>
            </w:r>
          </w:p>
        </w:tc>
      </w:tr>
      <w:tr>
        <w:tc>
          <w:tcPr/>
          <w:p>
            <w:pPr>
              <w:pStyle w:val="Compac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0.80%</w:t>
            </w:r>
          </w:p>
        </w:tc>
        <w:tc>
          <w:tcPr/>
          <w:p>
            <w:pPr>
              <w:pStyle w:val="Compact"/>
              <w:jc w:val="right"/>
            </w:pPr>
            <w:r>
              <w:t xml:space="preserve">$1,216</w:t>
            </w:r>
          </w:p>
        </w:tc>
      </w:tr>
      <w:tr>
        <w:tc>
          <w:tcPr/>
          <w:p>
            <w:pPr>
              <w:pStyle w:val="Compac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1.76%</w:t>
            </w:r>
          </w:p>
        </w:tc>
        <w:tc>
          <w:tcPr/>
          <w:p>
            <w:pPr>
              <w:pStyle w:val="Compact"/>
              <w:jc w:val="right"/>
            </w:pPr>
            <w:r>
              <w:t xml:space="preserve">$1,351</w:t>
            </w:r>
          </w:p>
        </w:tc>
      </w:tr>
      <w:tr>
        <w:tc>
          <w:tcPr/>
          <w:p>
            <w:pPr>
              <w:pStyle w:val="Compac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1.71%</w:t>
            </w:r>
          </w:p>
        </w:tc>
        <w:tc>
          <w:tcPr/>
          <w:p>
            <w:pPr>
              <w:pStyle w:val="Compact"/>
              <w:jc w:val="right"/>
            </w:pPr>
            <w:r>
              <w:t xml:space="preserve">$1,292</w:t>
            </w:r>
          </w:p>
        </w:tc>
      </w:tr>
      <w:tr>
        <w:tc>
          <w:tcPr/>
          <w:p>
            <w:pPr>
              <w:pStyle w:val="Compac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3.64%</w:t>
            </w:r>
          </w:p>
        </w:tc>
        <w:tc>
          <w:tcPr/>
          <w:p>
            <w:pPr>
              <w:pStyle w:val="Compact"/>
              <w:jc w:val="right"/>
            </w:pPr>
            <w:r>
              <w:t xml:space="preserve">$1,368</w:t>
            </w:r>
          </w:p>
        </w:tc>
      </w:tr>
      <w:tr>
        <w:tc>
          <w:tcPr/>
          <w:p>
            <w:pPr>
              <w:pStyle w:val="Compac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4.25%</w:t>
            </w:r>
          </w:p>
        </w:tc>
        <w:tc>
          <w:tcPr/>
          <w:p>
            <w:pPr>
              <w:pStyle w:val="Compact"/>
              <w:jc w:val="right"/>
            </w:pPr>
            <w:r>
              <w:t xml:space="preserve">$1,283</w:t>
            </w:r>
          </w:p>
        </w:tc>
      </w:tr>
      <w:tr>
        <w:tc>
          <w:tcPr/>
          <w:p>
            <w:pPr>
              <w:pStyle w:val="Compac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8.99%</w:t>
            </w:r>
          </w:p>
        </w:tc>
        <w:tc>
          <w:tcPr/>
          <w:p>
            <w:pPr>
              <w:pStyle w:val="Compact"/>
              <w:jc w:val="right"/>
            </w:pPr>
            <w:r>
              <w:t xml:space="preserve">$1,352</w:t>
            </w:r>
          </w:p>
        </w:tc>
      </w:tr>
      <w:tr>
        <w:tc>
          <w:tcPr/>
          <w:p>
            <w:pPr>
              <w:pStyle w:val="Compac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0.24%</w:t>
            </w:r>
          </w:p>
        </w:tc>
        <w:tc>
          <w:tcPr/>
          <w:p>
            <w:pPr>
              <w:pStyle w:val="Compact"/>
              <w:jc w:val="right"/>
            </w:pPr>
            <w:r>
              <w:t xml:space="preserve">$375</w:t>
            </w:r>
          </w:p>
        </w:tc>
      </w:tr>
      <w:tr>
        <w:tc>
          <w:tcPr/>
          <w:p>
            <w:pPr>
              <w:pStyle w:val="Compac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0.58%</w:t>
            </w:r>
          </w:p>
        </w:tc>
        <w:tc>
          <w:tcPr/>
          <w:p>
            <w:pPr>
              <w:pStyle w:val="Compact"/>
              <w:jc w:val="right"/>
            </w:pPr>
            <w:r>
              <w:t xml:space="preserve">$449</w:t>
            </w:r>
          </w:p>
        </w:tc>
      </w:tr>
      <w:tr>
        <w:tc>
          <w:tcPr/>
          <w:p>
            <w:pPr>
              <w:pStyle w:val="Compac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0.58%</w:t>
            </w:r>
          </w:p>
        </w:tc>
        <w:tc>
          <w:tcPr/>
          <w:p>
            <w:pPr>
              <w:pStyle w:val="Compact"/>
              <w:jc w:val="right"/>
            </w:pPr>
            <w:r>
              <w:t xml:space="preserve">$443</w:t>
            </w:r>
          </w:p>
        </w:tc>
      </w:tr>
      <w:tr>
        <w:tc>
          <w:tcPr/>
          <w:p>
            <w:pPr>
              <w:pStyle w:val="Compac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0.95%</w:t>
            </w:r>
          </w:p>
        </w:tc>
        <w:tc>
          <w:tcPr/>
          <w:p>
            <w:pPr>
              <w:pStyle w:val="Compact"/>
              <w:jc w:val="right"/>
            </w:pPr>
            <w:r>
              <w:t xml:space="preserve">$358</w:t>
            </w:r>
          </w:p>
        </w:tc>
      </w:tr>
      <w:tr>
        <w:tc>
          <w:tcPr/>
          <w:p>
            <w:pPr>
              <w:pStyle w:val="Compac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1.19%</w:t>
            </w:r>
          </w:p>
        </w:tc>
        <w:tc>
          <w:tcPr/>
          <w:p>
            <w:pPr>
              <w:pStyle w:val="Compact"/>
              <w:jc w:val="right"/>
            </w:pPr>
            <w:r>
              <w:t xml:space="preserve">$361</w:t>
            </w:r>
          </w:p>
        </w:tc>
      </w:tr>
      <w:tr>
        <w:tc>
          <w:tcPr/>
          <w:p>
            <w:pPr>
              <w:pStyle w:val="Compac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2.41%</w:t>
            </w:r>
          </w:p>
        </w:tc>
        <w:tc>
          <w:tcPr/>
          <w:p>
            <w:pPr>
              <w:pStyle w:val="Compact"/>
              <w:jc w:val="right"/>
            </w:pPr>
            <w:r>
              <w:t xml:space="preserve">$364</w:t>
            </w:r>
          </w:p>
        </w:tc>
      </w:tr>
      <w:tr>
        <w:tc>
          <w:tcPr/>
          <w:p>
            <w:pPr>
              <w:pStyle w:val="Compac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0.56%</w:t>
            </w:r>
          </w:p>
        </w:tc>
        <w:tc>
          <w:tcPr/>
          <w:p>
            <w:pPr>
              <w:pStyle w:val="Compact"/>
              <w:jc w:val="right"/>
            </w:pPr>
            <w:r>
              <w:t xml:space="preserve">$854</w:t>
            </w:r>
          </w:p>
        </w:tc>
      </w:tr>
      <w:tr>
        <w:tc>
          <w:tcPr/>
          <w:p>
            <w:pPr>
              <w:pStyle w:val="Compac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1.22%</w:t>
            </w:r>
          </w:p>
        </w:tc>
        <w:tc>
          <w:tcPr/>
          <w:p>
            <w:pPr>
              <w:pStyle w:val="Compact"/>
              <w:jc w:val="right"/>
            </w:pPr>
            <w:r>
              <w:t xml:space="preserve">$942</w:t>
            </w:r>
          </w:p>
        </w:tc>
      </w:tr>
      <w:tr>
        <w:tc>
          <w:tcPr/>
          <w:p>
            <w:pPr>
              <w:pStyle w:val="Compac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1.16%</w:t>
            </w:r>
          </w:p>
        </w:tc>
        <w:tc>
          <w:tcPr/>
          <w:p>
            <w:pPr>
              <w:pStyle w:val="Compact"/>
              <w:jc w:val="right"/>
            </w:pPr>
            <w:r>
              <w:t xml:space="preserve">$885</w:t>
            </w:r>
          </w:p>
        </w:tc>
      </w:tr>
      <w:tr>
        <w:tc>
          <w:tcPr/>
          <w:p>
            <w:pPr>
              <w:pStyle w:val="Compac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2.36%</w:t>
            </w:r>
          </w:p>
        </w:tc>
        <w:tc>
          <w:tcPr/>
          <w:p>
            <w:pPr>
              <w:pStyle w:val="Compact"/>
              <w:jc w:val="right"/>
            </w:pPr>
            <w:r>
              <w:t xml:space="preserve">$889</w:t>
            </w:r>
          </w:p>
        </w:tc>
      </w:tr>
      <w:tr>
        <w:tc>
          <w:tcPr/>
          <w:p>
            <w:pPr>
              <w:pStyle w:val="Compac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2.83%</w:t>
            </w:r>
          </w:p>
        </w:tc>
        <w:tc>
          <w:tcPr/>
          <w:p>
            <w:pPr>
              <w:pStyle w:val="Compact"/>
              <w:jc w:val="right"/>
            </w:pPr>
            <w:r>
              <w:t xml:space="preserve">$861</w:t>
            </w:r>
          </w:p>
        </w:tc>
      </w:tr>
      <w:tr>
        <w:tc>
          <w:tcPr/>
          <w:p>
            <w:pPr>
              <w:pStyle w:val="Compac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5.94%</w:t>
            </w:r>
          </w:p>
        </w:tc>
        <w:tc>
          <w:tcPr/>
          <w:p>
            <w:pPr>
              <w:pStyle w:val="Compact"/>
              <w:jc w:val="right"/>
            </w:pPr>
            <w:r>
              <w:t xml:space="preserve">$898</w:t>
            </w:r>
          </w:p>
        </w:tc>
      </w:tr>
      <w:tr>
        <w:tc>
          <w:tcPr/>
          <w:p>
            <w:pPr>
              <w:pStyle w:val="Compac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0.53%</w:t>
            </w:r>
          </w:p>
        </w:tc>
        <w:tc>
          <w:tcPr/>
          <w:p>
            <w:pPr>
              <w:pStyle w:val="Compact"/>
              <w:jc w:val="right"/>
            </w:pPr>
            <w:r>
              <w:t xml:space="preserve">$806</w:t>
            </w:r>
          </w:p>
        </w:tc>
      </w:tr>
      <w:tr>
        <w:tc>
          <w:tcPr/>
          <w:p>
            <w:pPr>
              <w:pStyle w:val="Compac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1.21%</w:t>
            </w:r>
          </w:p>
        </w:tc>
        <w:tc>
          <w:tcPr/>
          <w:p>
            <w:pPr>
              <w:pStyle w:val="Compact"/>
              <w:jc w:val="right"/>
            </w:pPr>
            <w:r>
              <w:t xml:space="preserve">$929</w:t>
            </w:r>
          </w:p>
        </w:tc>
      </w:tr>
      <w:tr>
        <w:tc>
          <w:tcPr/>
          <w:p>
            <w:pPr>
              <w:pStyle w:val="Compac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1.09%</w:t>
            </w:r>
          </w:p>
        </w:tc>
        <w:tc>
          <w:tcPr/>
          <w:p>
            <w:pPr>
              <w:pStyle w:val="Compact"/>
              <w:jc w:val="right"/>
            </w:pPr>
            <w:r>
              <w:t xml:space="preserve">$827</w:t>
            </w:r>
          </w:p>
        </w:tc>
      </w:tr>
      <w:tr>
        <w:tc>
          <w:tcPr/>
          <w:p>
            <w:pPr>
              <w:pStyle w:val="Compac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2.24%</w:t>
            </w:r>
          </w:p>
        </w:tc>
        <w:tc>
          <w:tcPr/>
          <w:p>
            <w:pPr>
              <w:pStyle w:val="Compact"/>
              <w:jc w:val="right"/>
            </w:pPr>
            <w:r>
              <w:t xml:space="preserve">$842</w:t>
            </w:r>
          </w:p>
        </w:tc>
      </w:tr>
      <w:tr>
        <w:tc>
          <w:tcPr/>
          <w:p>
            <w:pPr>
              <w:pStyle w:val="Compac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2.66%</w:t>
            </w:r>
          </w:p>
        </w:tc>
        <w:tc>
          <w:tcPr/>
          <w:p>
            <w:pPr>
              <w:pStyle w:val="Compact"/>
              <w:jc w:val="right"/>
            </w:pPr>
            <w:r>
              <w:t xml:space="preserve">$803</w:t>
            </w:r>
          </w:p>
        </w:tc>
      </w:tr>
      <w:tr>
        <w:tc>
          <w:tcPr/>
          <w:p>
            <w:pPr>
              <w:pStyle w:val="Compac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5.62%</w:t>
            </w:r>
          </w:p>
        </w:tc>
        <w:tc>
          <w:tcPr/>
          <w:p>
            <w:pPr>
              <w:pStyle w:val="Compact"/>
              <w:jc w:val="right"/>
            </w:pPr>
            <w:r>
              <w:t xml:space="preserve">$846</w:t>
            </w:r>
          </w:p>
        </w:tc>
      </w:tr>
      <w:tr>
        <w:tc>
          <w:tcPr/>
          <w:p>
            <w:pPr>
              <w:pStyle w:val="Compac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0.85%</w:t>
            </w:r>
          </w:p>
        </w:tc>
        <w:tc>
          <w:tcPr/>
          <w:p>
            <w:pPr>
              <w:pStyle w:val="Compact"/>
              <w:jc w:val="right"/>
            </w:pPr>
            <w:r>
              <w:t xml:space="preserve">$1,299</w:t>
            </w:r>
          </w:p>
        </w:tc>
      </w:tr>
      <w:tr>
        <w:tc>
          <w:tcPr/>
          <w:p>
            <w:pPr>
              <w:pStyle w:val="Compac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1.90%</w:t>
            </w:r>
          </w:p>
        </w:tc>
        <w:tc>
          <w:tcPr/>
          <w:p>
            <w:pPr>
              <w:pStyle w:val="Compact"/>
              <w:jc w:val="right"/>
            </w:pPr>
            <w:r>
              <w:t xml:space="preserve">$1,463</w:t>
            </w:r>
          </w:p>
        </w:tc>
      </w:tr>
      <w:tr>
        <w:tc>
          <w:tcPr/>
          <w:p>
            <w:pPr>
              <w:pStyle w:val="Compac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1.73%</w:t>
            </w:r>
          </w:p>
        </w:tc>
        <w:tc>
          <w:tcPr/>
          <w:p>
            <w:pPr>
              <w:pStyle w:val="Compact"/>
              <w:jc w:val="right"/>
            </w:pPr>
            <w:r>
              <w:t xml:space="preserve">$1,307</w:t>
            </w:r>
          </w:p>
        </w:tc>
      </w:tr>
      <w:tr>
        <w:tc>
          <w:tcPr/>
          <w:p>
            <w:pPr>
              <w:pStyle w:val="Compac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3.73%</w:t>
            </w:r>
          </w:p>
        </w:tc>
        <w:tc>
          <w:tcPr/>
          <w:p>
            <w:pPr>
              <w:pStyle w:val="Compact"/>
              <w:jc w:val="right"/>
            </w:pPr>
            <w:r>
              <w:t xml:space="preserve">$1,402</w:t>
            </w:r>
          </w:p>
        </w:tc>
      </w:tr>
      <w:tr>
        <w:tc>
          <w:tcPr/>
          <w:p>
            <w:pPr>
              <w:pStyle w:val="Compac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4.28%</w:t>
            </w:r>
          </w:p>
        </w:tc>
        <w:tc>
          <w:tcPr/>
          <w:p>
            <w:pPr>
              <w:pStyle w:val="Compact"/>
              <w:jc w:val="right"/>
            </w:pPr>
            <w:r>
              <w:t xml:space="preserve">$1,294</w:t>
            </w:r>
          </w:p>
        </w:tc>
      </w:tr>
      <w:tr>
        <w:tc>
          <w:tcPr/>
          <w:p>
            <w:pPr>
              <w:pStyle w:val="Compac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9.26%</w:t>
            </w:r>
          </w:p>
        </w:tc>
        <w:tc>
          <w:tcPr/>
          <w:p>
            <w:pPr>
              <w:pStyle w:val="Compact"/>
              <w:jc w:val="right"/>
            </w:pPr>
            <w:r>
              <w:t xml:space="preserve">$1,393</w:t>
            </w:r>
          </w:p>
        </w:tc>
      </w:tr>
      <w:tr>
        <w:tc>
          <w:tcPr/>
          <w:p>
            <w:pPr>
              <w:pStyle w:val="Compac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0.40%</w:t>
            </w:r>
          </w:p>
        </w:tc>
        <w:tc>
          <w:tcPr/>
          <w:p>
            <w:pPr>
              <w:pStyle w:val="Compact"/>
              <w:jc w:val="right"/>
            </w:pPr>
            <w:r>
              <w:t xml:space="preserve">$602</w:t>
            </w:r>
          </w:p>
        </w:tc>
      </w:tr>
      <w:tr>
        <w:tc>
          <w:tcPr/>
          <w:p>
            <w:pPr>
              <w:pStyle w:val="Compac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0.80%</w:t>
            </w:r>
          </w:p>
        </w:tc>
        <w:tc>
          <w:tcPr/>
          <w:p>
            <w:pPr>
              <w:pStyle w:val="Compact"/>
              <w:jc w:val="right"/>
            </w:pPr>
            <w:r>
              <w:t xml:space="preserve">$612</w:t>
            </w:r>
          </w:p>
        </w:tc>
      </w:tr>
      <w:tr>
        <w:tc>
          <w:tcPr/>
          <w:p>
            <w:pPr>
              <w:pStyle w:val="Compac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0.81%</w:t>
            </w:r>
          </w:p>
        </w:tc>
        <w:tc>
          <w:tcPr/>
          <w:p>
            <w:pPr>
              <w:pStyle w:val="Compact"/>
              <w:jc w:val="right"/>
            </w:pPr>
            <w:r>
              <w:t xml:space="preserve">$612</w:t>
            </w:r>
          </w:p>
        </w:tc>
      </w:tr>
      <w:tr>
        <w:tc>
          <w:tcPr/>
          <w:p>
            <w:pPr>
              <w:pStyle w:val="Compac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1.59%</w:t>
            </w:r>
          </w:p>
        </w:tc>
        <w:tc>
          <w:tcPr/>
          <w:p>
            <w:pPr>
              <w:pStyle w:val="Compact"/>
              <w:jc w:val="right"/>
            </w:pPr>
            <w:r>
              <w:t xml:space="preserve">$596</w:t>
            </w:r>
          </w:p>
        </w:tc>
      </w:tr>
      <w:tr>
        <w:tc>
          <w:tcPr/>
          <w:p>
            <w:pPr>
              <w:pStyle w:val="Compac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1.96%</w:t>
            </w:r>
          </w:p>
        </w:tc>
        <w:tc>
          <w:tcPr/>
          <w:p>
            <w:pPr>
              <w:pStyle w:val="Compact"/>
              <w:jc w:val="right"/>
            </w:pPr>
            <w:r>
              <w:t xml:space="preserve">$590</w:t>
            </w:r>
          </w:p>
        </w:tc>
      </w:tr>
      <w:tr>
        <w:tc>
          <w:tcPr/>
          <w:p>
            <w:pPr>
              <w:pStyle w:val="Compac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4.09%</w:t>
            </w:r>
          </w:p>
        </w:tc>
        <w:tc>
          <w:tcPr/>
          <w:p>
            <w:pPr>
              <w:pStyle w:val="Compact"/>
              <w:jc w:val="right"/>
            </w:pPr>
            <w:r>
              <w:t xml:space="preserve">$612</w:t>
            </w:r>
          </w:p>
        </w:tc>
      </w:tr>
      <w:tr>
        <w:tc>
          <w:tcPr/>
          <w:p>
            <w:pPr>
              <w:pStyle w:val="Compac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0.47%</w:t>
            </w:r>
          </w:p>
        </w:tc>
        <w:tc>
          <w:tcPr/>
          <w:p>
            <w:pPr>
              <w:pStyle w:val="Compact"/>
              <w:jc w:val="right"/>
            </w:pPr>
            <w:r>
              <w:t xml:space="preserve">$718</w:t>
            </w:r>
          </w:p>
        </w:tc>
      </w:tr>
      <w:tr>
        <w:tc>
          <w:tcPr/>
          <w:p>
            <w:pPr>
              <w:pStyle w:val="Compac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0.98%</w:t>
            </w:r>
          </w:p>
        </w:tc>
        <w:tc>
          <w:tcPr/>
          <w:p>
            <w:pPr>
              <w:pStyle w:val="Compact"/>
              <w:jc w:val="right"/>
            </w:pPr>
            <w:r>
              <w:t xml:space="preserve">$750</w:t>
            </w:r>
          </w:p>
        </w:tc>
      </w:tr>
      <w:tr>
        <w:tc>
          <w:tcPr/>
          <w:p>
            <w:pPr>
              <w:pStyle w:val="Compac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0.92%</w:t>
            </w:r>
          </w:p>
        </w:tc>
        <w:tc>
          <w:tcPr/>
          <w:p>
            <w:pPr>
              <w:pStyle w:val="Compact"/>
              <w:jc w:val="right"/>
            </w:pPr>
            <w:r>
              <w:t xml:space="preserve">$693</w:t>
            </w:r>
          </w:p>
        </w:tc>
      </w:tr>
      <w:tr>
        <w:tc>
          <w:tcPr/>
          <w:p>
            <w:pPr>
              <w:pStyle w:val="Compac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2.02%</w:t>
            </w:r>
          </w:p>
        </w:tc>
        <w:tc>
          <w:tcPr/>
          <w:p>
            <w:pPr>
              <w:pStyle w:val="Compact"/>
              <w:jc w:val="right"/>
            </w:pPr>
            <w:r>
              <w:t xml:space="preserve">$755</w:t>
            </w:r>
          </w:p>
        </w:tc>
      </w:tr>
      <w:tr>
        <w:tc>
          <w:tcPr/>
          <w:p>
            <w:pPr>
              <w:pStyle w:val="Compac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2.37%</w:t>
            </w:r>
          </w:p>
        </w:tc>
        <w:tc>
          <w:tcPr/>
          <w:p>
            <w:pPr>
              <w:pStyle w:val="Compact"/>
              <w:jc w:val="right"/>
            </w:pPr>
            <w:r>
              <w:t xml:space="preserve">$713</w:t>
            </w:r>
          </w:p>
        </w:tc>
      </w:tr>
      <w:tr>
        <w:tc>
          <w:tcPr/>
          <w:p>
            <w:pPr>
              <w:pStyle w:val="Compac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5.00%</w:t>
            </w:r>
          </w:p>
        </w:tc>
        <w:tc>
          <w:tcPr/>
          <w:p>
            <w:pPr>
              <w:pStyle w:val="Compact"/>
              <w:jc w:val="right"/>
            </w:pPr>
            <w:r>
              <w:t xml:space="preserve">$749</w:t>
            </w:r>
          </w:p>
        </w:tc>
      </w:tr>
      <w:tr>
        <w:tc>
          <w:tcPr/>
          <w:p>
            <w:pPr>
              <w:pStyle w:val="Compac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0.47%</w:t>
            </w:r>
          </w:p>
        </w:tc>
        <w:tc>
          <w:tcPr/>
          <w:p>
            <w:pPr>
              <w:pStyle w:val="Compact"/>
              <w:jc w:val="right"/>
            </w:pPr>
            <w:r>
              <w:t xml:space="preserve">$708</w:t>
            </w:r>
          </w:p>
        </w:tc>
      </w:tr>
      <w:tr>
        <w:tc>
          <w:tcPr/>
          <w:p>
            <w:pPr>
              <w:pStyle w:val="Compac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0.96%</w:t>
            </w:r>
          </w:p>
        </w:tc>
        <w:tc>
          <w:tcPr/>
          <w:p>
            <w:pPr>
              <w:pStyle w:val="Compact"/>
              <w:jc w:val="right"/>
            </w:pPr>
            <w:r>
              <w:t xml:space="preserve">$739</w:t>
            </w:r>
          </w:p>
        </w:tc>
      </w:tr>
      <w:tr>
        <w:tc>
          <w:tcPr/>
          <w:p>
            <w:pPr>
              <w:pStyle w:val="Compac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0.95%</w:t>
            </w:r>
          </w:p>
        </w:tc>
        <w:tc>
          <w:tcPr/>
          <w:p>
            <w:pPr>
              <w:pStyle w:val="Compact"/>
              <w:jc w:val="right"/>
            </w:pPr>
            <w:r>
              <w:t xml:space="preserve">$719</w:t>
            </w:r>
          </w:p>
        </w:tc>
      </w:tr>
      <w:tr>
        <w:tc>
          <w:tcPr/>
          <w:p>
            <w:pPr>
              <w:pStyle w:val="Compac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1.92%</w:t>
            </w:r>
          </w:p>
        </w:tc>
        <w:tc>
          <w:tcPr/>
          <w:p>
            <w:pPr>
              <w:pStyle w:val="Compact"/>
              <w:jc w:val="right"/>
            </w:pPr>
            <w:r>
              <w:t xml:space="preserve">$717</w:t>
            </w:r>
          </w:p>
        </w:tc>
      </w:tr>
      <w:tr>
        <w:tc>
          <w:tcPr/>
          <w:p>
            <w:pPr>
              <w:pStyle w:val="Compac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2.26%</w:t>
            </w:r>
          </w:p>
        </w:tc>
        <w:tc>
          <w:tcPr/>
          <w:p>
            <w:pPr>
              <w:pStyle w:val="Compact"/>
              <w:jc w:val="right"/>
            </w:pPr>
            <w:r>
              <w:t xml:space="preserve">$679</w:t>
            </w:r>
          </w:p>
        </w:tc>
      </w:tr>
      <w:tr>
        <w:tc>
          <w:tcPr/>
          <w:p>
            <w:pPr>
              <w:pStyle w:val="Compac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4.87%</w:t>
            </w:r>
          </w:p>
        </w:tc>
        <w:tc>
          <w:tcPr/>
          <w:p>
            <w:pPr>
              <w:pStyle w:val="Compact"/>
              <w:jc w:val="right"/>
            </w:pPr>
            <w:r>
              <w:t xml:space="preserve">$729</w:t>
            </w:r>
          </w:p>
        </w:tc>
      </w:tr>
      <w:tr>
        <w:tc>
          <w:tcPr/>
          <w:p>
            <w:pPr>
              <w:pStyle w:val="Compac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0.47%</w:t>
            </w:r>
          </w:p>
        </w:tc>
        <w:tc>
          <w:tcPr/>
          <w:p>
            <w:pPr>
              <w:pStyle w:val="Compact"/>
              <w:jc w:val="right"/>
            </w:pPr>
            <w:r>
              <w:t xml:space="preserve">$721</w:t>
            </w:r>
          </w:p>
        </w:tc>
      </w:tr>
      <w:tr>
        <w:tc>
          <w:tcPr/>
          <w:p>
            <w:pPr>
              <w:pStyle w:val="Compac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1.02%</w:t>
            </w:r>
          </w:p>
        </w:tc>
        <w:tc>
          <w:tcPr/>
          <w:p>
            <w:pPr>
              <w:pStyle w:val="Compact"/>
              <w:jc w:val="right"/>
            </w:pPr>
            <w:r>
              <w:t xml:space="preserve">$784</w:t>
            </w:r>
          </w:p>
        </w:tc>
      </w:tr>
      <w:tr>
        <w:tc>
          <w:tcPr/>
          <w:p>
            <w:pPr>
              <w:pStyle w:val="Compac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1.00%</w:t>
            </w:r>
          </w:p>
        </w:tc>
        <w:tc>
          <w:tcPr/>
          <w:p>
            <w:pPr>
              <w:pStyle w:val="Compact"/>
              <w:jc w:val="right"/>
            </w:pPr>
            <w:r>
              <w:t xml:space="preserve">$755</w:t>
            </w:r>
          </w:p>
        </w:tc>
      </w:tr>
      <w:tr>
        <w:tc>
          <w:tcPr/>
          <w:p>
            <w:pPr>
              <w:pStyle w:val="Compac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2.09%</w:t>
            </w:r>
          </w:p>
        </w:tc>
        <w:tc>
          <w:tcPr/>
          <w:p>
            <w:pPr>
              <w:pStyle w:val="Compact"/>
              <w:jc w:val="right"/>
            </w:pPr>
            <w:r>
              <w:t xml:space="preserve">$781</w:t>
            </w:r>
          </w:p>
        </w:tc>
      </w:tr>
      <w:tr>
        <w:tc>
          <w:tcPr/>
          <w:p>
            <w:pPr>
              <w:pStyle w:val="Compac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$742</w:t>
            </w:r>
          </w:p>
        </w:tc>
      </w:tr>
      <w:tr>
        <w:tc>
          <w:tcPr/>
          <w:p>
            <w:pPr>
              <w:pStyle w:val="Compac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5.29%</w:t>
            </w:r>
          </w:p>
        </w:tc>
        <w:tc>
          <w:tcPr/>
          <w:p>
            <w:pPr>
              <w:pStyle w:val="Compact"/>
              <w:jc w:val="right"/>
            </w:pPr>
            <w:r>
              <w:t xml:space="preserve">$792</w:t>
            </w:r>
          </w:p>
        </w:tc>
      </w:tr>
      <w:tr>
        <w:tc>
          <w:tcPr/>
          <w:p>
            <w:pPr>
              <w:pStyle w:val="Compac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0.27%</w:t>
            </w:r>
          </w:p>
        </w:tc>
        <w:tc>
          <w:tcPr/>
          <w:p>
            <w:pPr>
              <w:pStyle w:val="Compact"/>
              <w:jc w:val="right"/>
            </w:pPr>
            <w:r>
              <w:t xml:space="preserve">$408</w:t>
            </w:r>
          </w:p>
        </w:tc>
      </w:tr>
      <w:tr>
        <w:tc>
          <w:tcPr/>
          <w:p>
            <w:pPr>
              <w:pStyle w:val="Compac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$501</w:t>
            </w:r>
          </w:p>
        </w:tc>
      </w:tr>
      <w:tr>
        <w:tc>
          <w:tcPr/>
          <w:p>
            <w:pPr>
              <w:pStyle w:val="Compac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0.63%</w:t>
            </w:r>
          </w:p>
        </w:tc>
        <w:tc>
          <w:tcPr/>
          <w:p>
            <w:pPr>
              <w:pStyle w:val="Compact"/>
              <w:jc w:val="right"/>
            </w:pPr>
            <w:r>
              <w:t xml:space="preserve">$482</w:t>
            </w:r>
          </w:p>
        </w:tc>
      </w:tr>
      <w:tr>
        <w:tc>
          <w:tcPr/>
          <w:p>
            <w:pPr>
              <w:pStyle w:val="Compac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1.05%</w:t>
            </w:r>
          </w:p>
        </w:tc>
        <w:tc>
          <w:tcPr/>
          <w:p>
            <w:pPr>
              <w:pStyle w:val="Compact"/>
              <w:jc w:val="right"/>
            </w:pPr>
            <w:r>
              <w:t xml:space="preserve">$398</w:t>
            </w:r>
          </w:p>
        </w:tc>
      </w:tr>
      <w:tr>
        <w:tc>
          <w:tcPr/>
          <w:p>
            <w:pPr>
              <w:pStyle w:val="Compac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1.30%</w:t>
            </w:r>
          </w:p>
        </w:tc>
        <w:tc>
          <w:tcPr/>
          <w:p>
            <w:pPr>
              <w:pStyle w:val="Compact"/>
              <w:jc w:val="right"/>
            </w:pPr>
            <w:r>
              <w:t xml:space="preserve">$396</w:t>
            </w:r>
          </w:p>
        </w:tc>
      </w:tr>
      <w:tr>
        <w:tc>
          <w:tcPr/>
          <w:p>
            <w:pPr>
              <w:pStyle w:val="Compac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2.65%</w:t>
            </w:r>
          </w:p>
        </w:tc>
        <w:tc>
          <w:tcPr/>
          <w:p>
            <w:pPr>
              <w:pStyle w:val="Compact"/>
              <w:jc w:val="right"/>
            </w:pPr>
            <w:r>
              <w:t xml:space="preserve">$400</w:t>
            </w:r>
          </w:p>
        </w:tc>
      </w:tr>
      <w:tr>
        <w:tc>
          <w:tcPr/>
          <w:p>
            <w:pPr>
              <w:pStyle w:val="Compac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0.59%</w:t>
            </w:r>
          </w:p>
        </w:tc>
        <w:tc>
          <w:tcPr/>
          <w:p>
            <w:pPr>
              <w:pStyle w:val="Compact"/>
              <w:jc w:val="right"/>
            </w:pPr>
            <w:r>
              <w:t xml:space="preserve">$901</w:t>
            </w:r>
          </w:p>
        </w:tc>
      </w:tr>
      <w:tr>
        <w:tc>
          <w:tcPr/>
          <w:p>
            <w:pPr>
              <w:pStyle w:val="Compac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1.31%</w:t>
            </w:r>
          </w:p>
        </w:tc>
        <w:tc>
          <w:tcPr/>
          <w:p>
            <w:pPr>
              <w:pStyle w:val="Compact"/>
              <w:jc w:val="right"/>
            </w:pPr>
            <w:r>
              <w:t xml:space="preserve">$1,013</w:t>
            </w:r>
          </w:p>
        </w:tc>
      </w:tr>
      <w:tr>
        <w:tc>
          <w:tcPr/>
          <w:p>
            <w:pPr>
              <w:pStyle w:val="Compac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1.25%</w:t>
            </w:r>
          </w:p>
        </w:tc>
        <w:tc>
          <w:tcPr/>
          <w:p>
            <w:pPr>
              <w:pStyle w:val="Compact"/>
              <w:jc w:val="right"/>
            </w:pPr>
            <w:r>
              <w:t xml:space="preserve">$953</w:t>
            </w:r>
          </w:p>
        </w:tc>
      </w:tr>
      <w:tr>
        <w:tc>
          <w:tcPr/>
          <w:p>
            <w:pPr>
              <w:pStyle w:val="Compac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2.52%</w:t>
            </w:r>
          </w:p>
        </w:tc>
        <w:tc>
          <w:tcPr/>
          <w:p>
            <w:pPr>
              <w:pStyle w:val="Compact"/>
              <w:jc w:val="right"/>
            </w:pPr>
            <w:r>
              <w:t xml:space="preserve">$952</w:t>
            </w:r>
          </w:p>
        </w:tc>
      </w:tr>
      <w:tr>
        <w:tc>
          <w:tcPr/>
          <w:p>
            <w:pPr>
              <w:pStyle w:val="Compac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3.03%</w:t>
            </w:r>
          </w:p>
        </w:tc>
        <w:tc>
          <w:tcPr/>
          <w:p>
            <w:pPr>
              <w:pStyle w:val="Compact"/>
              <w:jc w:val="right"/>
            </w:pPr>
            <w:r>
              <w:t xml:space="preserve">$920</w:t>
            </w:r>
          </w:p>
        </w:tc>
      </w:tr>
      <w:tr>
        <w:tc>
          <w:tcPr/>
          <w:p>
            <w:pPr>
              <w:pStyle w:val="Compac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6.36%</w:t>
            </w:r>
          </w:p>
        </w:tc>
        <w:tc>
          <w:tcPr/>
          <w:p>
            <w:pPr>
              <w:pStyle w:val="Compact"/>
              <w:jc w:val="right"/>
            </w:pPr>
            <w:r>
              <w:t xml:space="preserve">$961</w:t>
            </w:r>
          </w:p>
        </w:tc>
      </w:tr>
      <w:tr>
        <w:tc>
          <w:tcPr/>
          <w:p>
            <w:pPr>
              <w:pStyle w:val="Compac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0.27%</w:t>
            </w:r>
          </w:p>
        </w:tc>
        <w:tc>
          <w:tcPr/>
          <w:p>
            <w:pPr>
              <w:pStyle w:val="Compact"/>
              <w:jc w:val="right"/>
            </w:pPr>
            <w:r>
              <w:t xml:space="preserve">$400</w:t>
            </w:r>
          </w:p>
        </w:tc>
      </w:tr>
      <w:tr>
        <w:tc>
          <w:tcPr/>
          <w:p>
            <w:pPr>
              <w:pStyle w:val="Compac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0.51%</w:t>
            </w:r>
          </w:p>
        </w:tc>
        <w:tc>
          <w:tcPr/>
          <w:p>
            <w:pPr>
              <w:pStyle w:val="Compact"/>
              <w:jc w:val="right"/>
            </w:pPr>
            <w:r>
              <w:t xml:space="preserve">$376</w:t>
            </w:r>
          </w:p>
        </w:tc>
      </w:tr>
      <w:tr>
        <w:tc>
          <w:tcPr/>
          <w:p>
            <w:pPr>
              <w:pStyle w:val="Compac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0.46%</w:t>
            </w:r>
          </w:p>
        </w:tc>
        <w:tc>
          <w:tcPr/>
          <w:p>
            <w:pPr>
              <w:pStyle w:val="Compact"/>
              <w:jc w:val="right"/>
            </w:pPr>
            <w:r>
              <w:t xml:space="preserve">$333</w:t>
            </w:r>
          </w:p>
        </w:tc>
      </w:tr>
      <w:tr>
        <w:tc>
          <w:tcPr/>
          <w:p>
            <w:pPr>
              <w:pStyle w:val="Compac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1.06%</w:t>
            </w:r>
          </w:p>
        </w:tc>
        <w:tc>
          <w:tcPr/>
          <w:p>
            <w:pPr>
              <w:pStyle w:val="Compact"/>
              <w:jc w:val="right"/>
            </w:pPr>
            <w:r>
              <w:t xml:space="preserve">$383</w:t>
            </w:r>
          </w:p>
        </w:tc>
      </w:tr>
      <w:tr>
        <w:tc>
          <w:tcPr/>
          <w:p>
            <w:pPr>
              <w:pStyle w:val="Compac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0.96%</w:t>
            </w:r>
          </w:p>
        </w:tc>
        <w:tc>
          <w:tcPr/>
          <w:p>
            <w:pPr>
              <w:pStyle w:val="Compact"/>
              <w:jc w:val="right"/>
            </w:pPr>
            <w:r>
              <w:t xml:space="preserve">$280</w:t>
            </w:r>
          </w:p>
        </w:tc>
      </w:tr>
      <w:tr>
        <w:tc>
          <w:tcPr/>
          <w:p>
            <w:pPr>
              <w:pStyle w:val="Compac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2.38%</w:t>
            </w:r>
          </w:p>
        </w:tc>
        <w:tc>
          <w:tcPr/>
          <w:p>
            <w:pPr>
              <w:pStyle w:val="Compact"/>
              <w:jc w:val="right"/>
            </w:pPr>
            <w:r>
              <w:t xml:space="preserve">$344</w:t>
            </w:r>
          </w:p>
        </w:tc>
      </w:tr>
      <w:tr>
        <w:tc>
          <w:tcPr/>
          <w:p>
            <w:pPr>
              <w:pStyle w:val="Compac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0.66%</w:t>
            </w:r>
          </w:p>
        </w:tc>
        <w:tc>
          <w:tcPr/>
          <w:p>
            <w:pPr>
              <w:pStyle w:val="Compact"/>
              <w:jc w:val="right"/>
            </w:pPr>
            <w:r>
              <w:t xml:space="preserve">$970</w:t>
            </w:r>
          </w:p>
        </w:tc>
      </w:tr>
      <w:tr>
        <w:tc>
          <w:tcPr/>
          <w:p>
            <w:pPr>
              <w:pStyle w:val="Compac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1.64%</w:t>
            </w:r>
          </w:p>
        </w:tc>
        <w:tc>
          <w:tcPr/>
          <w:p>
            <w:pPr>
              <w:pStyle w:val="Compact"/>
              <w:jc w:val="right"/>
            </w:pPr>
            <w:r>
              <w:t xml:space="preserve">$1,216</w:t>
            </w:r>
          </w:p>
        </w:tc>
      </w:tr>
      <w:tr>
        <w:tc>
          <w:tcPr/>
          <w:p>
            <w:pPr>
              <w:pStyle w:val="Compac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1.54%</w:t>
            </w:r>
          </w:p>
        </w:tc>
        <w:tc>
          <w:tcPr/>
          <w:p>
            <w:pPr>
              <w:pStyle w:val="Compact"/>
              <w:jc w:val="right"/>
            </w:pPr>
            <w:r>
              <w:t xml:space="preserve">$1,121</w:t>
            </w:r>
          </w:p>
        </w:tc>
      </w:tr>
      <w:tr>
        <w:tc>
          <w:tcPr/>
          <w:p>
            <w:pPr>
              <w:pStyle w:val="Compac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$1,228</w:t>
            </w:r>
          </w:p>
        </w:tc>
      </w:tr>
      <w:tr>
        <w:tc>
          <w:tcPr/>
          <w:p>
            <w:pPr>
              <w:pStyle w:val="Compac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3.82%</w:t>
            </w:r>
          </w:p>
        </w:tc>
        <w:tc>
          <w:tcPr/>
          <w:p>
            <w:pPr>
              <w:pStyle w:val="Compact"/>
              <w:jc w:val="right"/>
            </w:pPr>
            <w:r>
              <w:t xml:space="preserve">$1,112</w:t>
            </w:r>
          </w:p>
        </w:tc>
      </w:tr>
      <w:tr>
        <w:tc>
          <w:tcPr/>
          <w:p>
            <w:pPr>
              <w:pStyle w:val="Compac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8.26%</w:t>
            </w:r>
          </w:p>
        </w:tc>
        <w:tc>
          <w:tcPr/>
          <w:p>
            <w:pPr>
              <w:pStyle w:val="Compact"/>
              <w:jc w:val="right"/>
            </w:pPr>
            <w:r>
              <w:t xml:space="preserve">$1,194</w:t>
            </w:r>
          </w:p>
        </w:tc>
      </w:tr>
    </w:tbl>
    <w:p>
      <w:pPr>
        <w:pStyle w:val="BodyText"/>
      </w:pPr>
      <w:r>
        <w:rPr>
          <w:b/>
          <w:bCs/>
        </w:rPr>
        <w:t xml:space="preserve">Table A4.</w:t>
      </w:r>
      <w:r>
        <w:t xml:space="preserve"> </w:t>
      </w:r>
      <w:r>
        <w:t xml:space="preserve">Actuarial sense checks on the SHAP values.</w:t>
      </w:r>
    </w:p>
    <w:p>
      <w:pPr>
        <w:pStyle w:val="BodyText"/>
      </w:pPr>
      <w:r>
        <w:rPr>
          <w:i/>
          <w:iCs/>
        </w:rPr>
        <w:t xml:space="preserve">Spearman correlation between a feature’s value and its SHAP contribution across held-out persons, by fold. Positive means predicted spending rises with the feature.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jc w:val="right"/>
            </w:pPr>
            <w:r>
              <w:t xml:space="preserve">Mean</w:t>
            </w:r>
          </w:p>
        </w:tc>
        <w:tc>
          <w:tcPr/>
          <w:p>
            <w:pPr>
              <w:pStyle w:val="Compact"/>
              <w:jc w:val="right"/>
            </w:pPr>
            <w:r>
              <w:t xml:space="preserve">Min across folds</w:t>
            </w:r>
          </w:p>
        </w:tc>
        <w:tc>
          <w:tcPr/>
          <w:p>
            <w:pPr>
              <w:pStyle w:val="Compact"/>
              <w:jc w:val="right"/>
            </w:pPr>
            <w:r>
              <w:t xml:space="preserve">Max across folds</w:t>
            </w:r>
          </w:p>
        </w:tc>
      </w:tr>
      <w:tr>
        <w:tc>
          <w:tcPr/>
          <w:p>
            <w:pPr>
              <w:pStyle w:val="Compact"/>
            </w:pPr>
            <w:r>
              <w:t xml:space="preserve">log_spend_y1</w:t>
            </w:r>
          </w:p>
        </w:tc>
        <w:tc>
          <w:tcPr/>
          <w:p>
            <w:pPr>
              <w:pStyle w:val="Compact"/>
              <w:jc w:val="right"/>
            </w:pPr>
            <w:r>
              <w:t xml:space="preserve">0.875</w:t>
            </w:r>
          </w:p>
        </w:tc>
        <w:tc>
          <w:tcPr/>
          <w:p>
            <w:pPr>
              <w:pStyle w:val="Compact"/>
              <w:jc w:val="right"/>
            </w:pPr>
            <w:r>
              <w:t xml:space="preserve">0.859</w:t>
            </w:r>
          </w:p>
        </w:tc>
        <w:tc>
          <w:tcPr/>
          <w:p>
            <w:pPr>
              <w:pStyle w:val="Compact"/>
              <w:jc w:val="right"/>
            </w:pPr>
            <w:r>
              <w:t xml:space="preserve">0.903</w:t>
            </w:r>
          </w:p>
        </w:tc>
      </w:tr>
      <w:tr>
        <w:tc>
          <w:tcPr/>
          <w:p>
            <w:pPr>
              <w:pStyle w:val="Compact"/>
            </w:pPr>
            <w:r>
              <w:t xml:space="preserve">n_body_systems</w:t>
            </w:r>
          </w:p>
        </w:tc>
        <w:tc>
          <w:tcPr/>
          <w:p>
            <w:pPr>
              <w:pStyle w:val="Compact"/>
              <w:jc w:val="right"/>
            </w:pPr>
            <w:r>
              <w:t xml:space="preserve">0.863</w:t>
            </w:r>
          </w:p>
        </w:tc>
        <w:tc>
          <w:tcPr/>
          <w:p>
            <w:pPr>
              <w:pStyle w:val="Compact"/>
              <w:jc w:val="right"/>
            </w:pPr>
            <w:r>
              <w:t xml:space="preserve">0.842</w:t>
            </w:r>
          </w:p>
        </w:tc>
        <w:tc>
          <w:tcPr/>
          <w:p>
            <w:pPr>
              <w:pStyle w:val="Compact"/>
              <w:jc w:val="right"/>
            </w:pPr>
            <w:r>
              <w:t xml:space="preserve">0.889</w:t>
            </w:r>
          </w:p>
        </w:tc>
      </w:tr>
      <w:tr>
        <w:tc>
          <w:tcPr/>
          <w:p>
            <w:pPr>
              <w:pStyle w:val="Compact"/>
            </w:pPr>
            <w:r>
              <w:t xml:space="preserve">n_conditions</w:t>
            </w:r>
          </w:p>
        </w:tc>
        <w:tc>
          <w:tcPr/>
          <w:p>
            <w:pPr>
              <w:pStyle w:val="Compact"/>
              <w:jc w:val="right"/>
            </w:pPr>
            <w:r>
              <w:t xml:space="preserve">0.896</w:t>
            </w:r>
          </w:p>
        </w:tc>
        <w:tc>
          <w:tcPr/>
          <w:p>
            <w:pPr>
              <w:pStyle w:val="Compact"/>
              <w:jc w:val="right"/>
            </w:pPr>
            <w:r>
              <w:t xml:space="preserve">0.873</w:t>
            </w:r>
          </w:p>
        </w:tc>
        <w:tc>
          <w:tcPr/>
          <w:p>
            <w:pPr>
              <w:pStyle w:val="Compact"/>
              <w:jc w:val="right"/>
            </w:pPr>
            <w:r>
              <w:t xml:space="preserve">0.915</w:t>
            </w:r>
          </w:p>
        </w:tc>
      </w:tr>
    </w:tbl>
    <w:p>
      <w:pPr>
        <w:pStyle w:val="BodyText"/>
      </w:pPr>
      <w:r>
        <w:rPr>
          <w:b/>
          <w:bCs/>
        </w:rPr>
        <w:t xml:space="preserve">Table A5.</w:t>
      </w:r>
      <w:r>
        <w:t xml:space="preserve"> </w:t>
      </w:r>
      <w:r>
        <w:t xml:space="preserve">Hyperparameters chosen by inner validation, across the 15 outer folds.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model</w:t>
            </w:r>
          </w:p>
        </w:tc>
        <w:tc>
          <w:tcPr/>
          <w:p>
            <w:pPr>
              <w:pStyle w:val="Compact"/>
              <w:jc w:val="right"/>
            </w:pPr>
            <w:r>
              <w:t xml:space="preserve">parameter</w:t>
            </w:r>
          </w:p>
        </w:tc>
        <w:tc>
          <w:tcPr/>
          <w:p>
            <w:pPr>
              <w:pStyle w:val="Compact"/>
              <w:jc w:val="right"/>
            </w:pPr>
            <w:r>
              <w:t xml:space="preserve">chosen (count of folds)</w:t>
            </w:r>
          </w:p>
        </w:tc>
      </w:tr>
      <w:tr>
        <w:tc>
          <w:tcPr/>
          <w:p>
            <w:pPr>
              <w:pStyle w:val="Compact"/>
            </w:pPr>
            <w:r>
              <w:t xml:space="preserve">tweedie</w:t>
            </w:r>
          </w:p>
        </w:tc>
        <w:tc>
          <w:tcPr/>
          <w:p>
            <w:pPr>
              <w:pStyle w:val="Compact"/>
              <w:jc w:val="right"/>
            </w:pPr>
            <w:r>
              <w:t xml:space="preserve">alpha</w:t>
            </w:r>
          </w:p>
        </w:tc>
        <w:tc>
          <w:tcPr/>
          <w:p>
            <w:pPr>
              <w:pStyle w:val="Compact"/>
              <w:jc w:val="right"/>
            </w:pPr>
            <w:r>
              <w:t xml:space="preserve">1.0 (6); 10.0 (4); 0.01 (3); 0.1 (2)</w:t>
            </w:r>
          </w:p>
        </w:tc>
      </w:tr>
      <w:tr>
        <w:tc>
          <w:tcPr/>
          <w:p>
            <w:pPr>
              <w:pStyle w:val="Compact"/>
            </w:pPr>
            <w:r>
              <w:t xml:space="preserve">twopart</w:t>
            </w:r>
          </w:p>
        </w:tc>
        <w:tc>
          <w:tcPr/>
          <w:p>
            <w:pPr>
              <w:pStyle w:val="Compact"/>
              <w:jc w:val="right"/>
            </w:pPr>
            <w:r>
              <w:t xml:space="preserve">C</w:t>
            </w:r>
          </w:p>
        </w:tc>
        <w:tc>
          <w:tcPr/>
          <w:p>
            <w:pPr>
              <w:pStyle w:val="Compact"/>
              <w:jc w:val="right"/>
            </w:pPr>
            <w:r>
              <w:t xml:space="preserve">0.1 (15)</w:t>
            </w:r>
          </w:p>
        </w:tc>
      </w:tr>
      <w:tr>
        <w:tc>
          <w:tcPr/>
          <w:p>
            <w:pPr>
              <w:pStyle w:val="Compact"/>
            </w:pPr>
            <w:r>
              <w:t xml:space="preserve">twopart</w:t>
            </w:r>
          </w:p>
        </w:tc>
        <w:tc>
          <w:tcPr/>
          <w:p>
            <w:pPr>
              <w:pStyle w:val="Compact"/>
              <w:jc w:val="right"/>
            </w:pPr>
            <w:r>
              <w:t xml:space="preserve">alpha</w:t>
            </w:r>
          </w:p>
        </w:tc>
        <w:tc>
          <w:tcPr/>
          <w:p>
            <w:pPr>
              <w:pStyle w:val="Compact"/>
              <w:jc w:val="right"/>
            </w:pPr>
            <w:r>
              <w:t xml:space="preserve">1.0 (11); 0.1 (3); 10.0 (1)</w:t>
            </w:r>
          </w:p>
        </w:tc>
      </w:tr>
      <w:tr>
        <w:tc>
          <w:tcPr/>
          <w:p>
            <w:pPr>
              <w:pStyle w:val="Compact"/>
            </w:pPr>
            <w:r>
              <w:t xml:space="preserve">enet</w:t>
            </w:r>
          </w:p>
        </w:tc>
        <w:tc>
          <w:tcPr/>
          <w:p>
            <w:pPr>
              <w:pStyle w:val="Compact"/>
              <w:jc w:val="right"/>
            </w:pPr>
            <w:r>
              <w:t xml:space="preserve">alpha</w:t>
            </w:r>
          </w:p>
        </w:tc>
        <w:tc>
          <w:tcPr/>
          <w:p>
            <w:pPr>
              <w:pStyle w:val="Compact"/>
              <w:jc w:val="right"/>
            </w:pPr>
            <w:r>
              <w:t xml:space="preserve">1.0 (15)</w:t>
            </w:r>
          </w:p>
        </w:tc>
      </w:tr>
      <w:tr>
        <w:tc>
          <w:tcPr/>
          <w:p>
            <w:pPr>
              <w:pStyle w:val="Compact"/>
            </w:pPr>
            <w:r>
              <w:t xml:space="preserve">enet</w:t>
            </w:r>
          </w:p>
        </w:tc>
        <w:tc>
          <w:tcPr/>
          <w:p>
            <w:pPr>
              <w:pStyle w:val="Compact"/>
              <w:jc w:val="right"/>
            </w:pPr>
            <w:r>
              <w:t xml:space="preserve">l1_ratio</w:t>
            </w:r>
          </w:p>
        </w:tc>
        <w:tc>
          <w:tcPr/>
          <w:p>
            <w:pPr>
              <w:pStyle w:val="Compact"/>
              <w:jc w:val="right"/>
            </w:pPr>
            <w:r>
              <w:t xml:space="preserve">0.8 (15)</w:t>
            </w:r>
          </w:p>
        </w:tc>
      </w:tr>
      <w:tr>
        <w:tc>
          <w:tcPr/>
          <w:p>
            <w:pPr>
              <w:pStyle w:val="Compact"/>
            </w:pPr>
            <w:r>
              <w:t xml:space="preserve">gbm</w:t>
            </w:r>
          </w:p>
        </w:tc>
        <w:tc>
          <w:tcPr/>
          <w:p>
            <w:pPr>
              <w:pStyle w:val="Compact"/>
              <w:jc w:val="right"/>
            </w:pPr>
            <w:r>
              <w:t xml:space="preserve">num_leaves</w:t>
            </w:r>
          </w:p>
        </w:tc>
        <w:tc>
          <w:tcPr/>
          <w:p>
            <w:pPr>
              <w:pStyle w:val="Compact"/>
              <w:jc w:val="right"/>
            </w:pPr>
            <w:r>
              <w:t xml:space="preserve">63 (8); 31 (4); 15 (3)</w:t>
            </w:r>
          </w:p>
        </w:tc>
      </w:tr>
      <w:tr>
        <w:tc>
          <w:tcPr/>
          <w:p>
            <w:pPr>
              <w:pStyle w:val="Compact"/>
            </w:pPr>
            <w:r>
              <w:t xml:space="preserve">gbm</w:t>
            </w:r>
          </w:p>
        </w:tc>
        <w:tc>
          <w:tcPr/>
          <w:p>
            <w:pPr>
              <w:pStyle w:val="Compact"/>
              <w:jc w:val="right"/>
            </w:pPr>
            <w:r>
              <w:t xml:space="preserve">min_child_samples</w:t>
            </w:r>
          </w:p>
        </w:tc>
        <w:tc>
          <w:tcPr/>
          <w:p>
            <w:pPr>
              <w:pStyle w:val="Compact"/>
              <w:jc w:val="right"/>
            </w:pPr>
            <w:r>
              <w:t xml:space="preserve">100 (11); 50 (4)</w:t>
            </w:r>
          </w:p>
        </w:tc>
      </w:tr>
      <w:tr>
        <w:tc>
          <w:tcPr/>
          <w:p>
            <w:pPr>
              <w:pStyle w:val="Compact"/>
            </w:pPr>
            <w:r>
              <w:t xml:space="preserve">gbm</w:t>
            </w:r>
          </w:p>
        </w:tc>
        <w:tc>
          <w:tcPr/>
          <w:p>
            <w:pPr>
              <w:pStyle w:val="Compact"/>
              <w:jc w:val="right"/>
            </w:pPr>
            <w:r>
              <w:t xml:space="preserve">n_estimators</w:t>
            </w:r>
          </w:p>
        </w:tc>
        <w:tc>
          <w:tcPr/>
          <w:p>
            <w:pPr>
              <w:pStyle w:val="Compact"/>
              <w:jc w:val="right"/>
            </w:pPr>
            <w:r>
              <w:t xml:space="preserve">152 (2); 165 (1); 119 (1); 145 (1); 121 (1); 111 (1); 136 (1); 170 (1); 212 (1); 215 (1); 132 (1); 113 (1); 102 (1); 104 (1)</w:t>
            </w:r>
          </w:p>
        </w:tc>
      </w:tr>
      <w:tr>
        <w:tc>
          <w:tcPr/>
          <w:p>
            <w:pPr>
              <w:pStyle w:val="Compact"/>
            </w:pPr>
            <w:r>
              <w:t xml:space="preserve">gbm_mse</w:t>
            </w:r>
          </w:p>
        </w:tc>
        <w:tc>
          <w:tcPr/>
          <w:p>
            <w:pPr>
              <w:pStyle w:val="Compact"/>
              <w:jc w:val="right"/>
            </w:pPr>
            <w:r>
              <w:t xml:space="preserve">num_leaves</w:t>
            </w:r>
          </w:p>
        </w:tc>
        <w:tc>
          <w:tcPr/>
          <w:p>
            <w:pPr>
              <w:pStyle w:val="Compact"/>
              <w:jc w:val="right"/>
            </w:pPr>
            <w:r>
              <w:t xml:space="preserve">31 (7); 63 (6); 15 (2)</w:t>
            </w:r>
          </w:p>
        </w:tc>
      </w:tr>
      <w:tr>
        <w:tc>
          <w:tcPr/>
          <w:p>
            <w:pPr>
              <w:pStyle w:val="Compact"/>
            </w:pPr>
            <w:r>
              <w:t xml:space="preserve">gbm_mse</w:t>
            </w:r>
          </w:p>
        </w:tc>
        <w:tc>
          <w:tcPr/>
          <w:p>
            <w:pPr>
              <w:pStyle w:val="Compact"/>
              <w:jc w:val="right"/>
            </w:pPr>
            <w:r>
              <w:t xml:space="preserve">min_child_samples</w:t>
            </w:r>
          </w:p>
        </w:tc>
        <w:tc>
          <w:tcPr/>
          <w:p>
            <w:pPr>
              <w:pStyle w:val="Compact"/>
              <w:jc w:val="right"/>
            </w:pPr>
            <w:r>
              <w:t xml:space="preserve">100 (8); 50 (7)</w:t>
            </w:r>
          </w:p>
        </w:tc>
      </w:tr>
      <w:tr>
        <w:tc>
          <w:tcPr/>
          <w:p>
            <w:pPr>
              <w:pStyle w:val="Compact"/>
            </w:pPr>
            <w:r>
              <w:t xml:space="preserve">gbm_mse</w:t>
            </w:r>
          </w:p>
        </w:tc>
        <w:tc>
          <w:tcPr/>
          <w:p>
            <w:pPr>
              <w:pStyle w:val="Compact"/>
              <w:jc w:val="right"/>
            </w:pPr>
            <w:r>
              <w:t xml:space="preserve">n_estimators</w:t>
            </w:r>
          </w:p>
        </w:tc>
        <w:tc>
          <w:tcPr/>
          <w:p>
            <w:pPr>
              <w:pStyle w:val="Compact"/>
              <w:jc w:val="right"/>
            </w:pPr>
            <w:r>
              <w:t xml:space="preserve">88 (1); 124 (1); 98 (1); 162 (1); 62 (1); 73 (1); 76 (1); 354 (1); 123 (1); 127 (1); 126 (1); 484 (1); 187 (1); 83 (1); 68 (1)</w:t>
            </w:r>
          </w:p>
        </w:tc>
      </w:tr>
      <w:tr>
        <w:tc>
          <w:tcPr/>
          <w:p>
            <w:pPr>
              <w:pStyle w:val="Compact"/>
            </w:pPr>
            <w:r>
              <w:t xml:space="preserve">mlp</w:t>
            </w:r>
          </w:p>
        </w:tc>
        <w:tc>
          <w:tcPr/>
          <w:p>
            <w:pPr>
              <w:pStyle w:val="Compact"/>
              <w:jc w:val="right"/>
            </w:pPr>
            <w:r>
              <w:t xml:space="preserve">lr</w:t>
            </w:r>
          </w:p>
        </w:tc>
        <w:tc>
          <w:tcPr/>
          <w:p>
            <w:pPr>
              <w:pStyle w:val="Compact"/>
              <w:jc w:val="right"/>
            </w:pPr>
            <w:r>
              <w:t xml:space="preserve">0.003 (7); 0.01 (6); 0.001 (2)</w:t>
            </w:r>
          </w:p>
        </w:tc>
      </w:tr>
      <w:tr>
        <w:tc>
          <w:tcPr/>
          <w:p>
            <w:pPr>
              <w:pStyle w:val="Compact"/>
            </w:pPr>
            <w:r>
              <w:t xml:space="preserve">mlp</w:t>
            </w:r>
          </w:p>
        </w:tc>
        <w:tc>
          <w:tcPr/>
          <w:p>
            <w:pPr>
              <w:pStyle w:val="Compact"/>
              <w:jc w:val="right"/>
            </w:pPr>
            <w:r>
              <w:t xml:space="preserve">hidden</w:t>
            </w:r>
          </w:p>
        </w:tc>
        <w:tc>
          <w:tcPr/>
          <w:p>
            <w:pPr>
              <w:pStyle w:val="Compact"/>
              <w:jc w:val="right"/>
            </w:pPr>
            <w:r>
              <w:t xml:space="preserve">(64, 32) (7); (32,) (6); (128, 64) (2)</w:t>
            </w:r>
          </w:p>
        </w:tc>
      </w:tr>
      <w:tr>
        <w:tc>
          <w:tcPr/>
          <w:p>
            <w:pPr>
              <w:pStyle w:val="Compact"/>
            </w:pPr>
            <w:r>
              <w:t xml:space="preserve">mlp</w:t>
            </w:r>
          </w:p>
        </w:tc>
        <w:tc>
          <w:tcPr/>
          <w:p>
            <w:pPr>
              <w:pStyle w:val="Compact"/>
              <w:jc w:val="right"/>
            </w:pPr>
            <w:r>
              <w:t xml:space="preserve">epochs</w:t>
            </w:r>
          </w:p>
        </w:tc>
        <w:tc>
          <w:tcPr/>
          <w:p>
            <w:pPr>
              <w:pStyle w:val="Compact"/>
              <w:jc w:val="right"/>
            </w:pPr>
            <w:r>
              <w:t xml:space="preserve">32 (4); 29 (4); 28 (2); 33 (2); 38 (1); 30 (1); 35 (1)</w:t>
            </w:r>
          </w:p>
        </w:tc>
      </w:tr>
      <w:tr>
        <w:tc>
          <w:tcPr/>
          <w:p>
            <w:pPr>
              <w:pStyle w:val="Compact"/>
            </w:pPr>
            <w:r>
              <w:t xml:space="preserve">cann</w:t>
            </w:r>
          </w:p>
        </w:tc>
        <w:tc>
          <w:tcPr/>
          <w:p>
            <w:pPr>
              <w:pStyle w:val="Compact"/>
              <w:jc w:val="right"/>
            </w:pPr>
            <w:r>
              <w:t xml:space="preserve">lr</w:t>
            </w:r>
          </w:p>
        </w:tc>
        <w:tc>
          <w:tcPr/>
          <w:p>
            <w:pPr>
              <w:pStyle w:val="Compact"/>
              <w:jc w:val="right"/>
            </w:pPr>
            <w:r>
              <w:t xml:space="preserve">0.001 (11); 0.01 (2); 0.003 (2)</w:t>
            </w:r>
          </w:p>
        </w:tc>
      </w:tr>
      <w:tr>
        <w:tc>
          <w:tcPr/>
          <w:p>
            <w:pPr>
              <w:pStyle w:val="Compact"/>
            </w:pPr>
            <w:r>
              <w:t xml:space="preserve">cann</w:t>
            </w:r>
          </w:p>
        </w:tc>
        <w:tc>
          <w:tcPr/>
          <w:p>
            <w:pPr>
              <w:pStyle w:val="Compact"/>
              <w:jc w:val="right"/>
            </w:pPr>
            <w:r>
              <w:t xml:space="preserve">hidden</w:t>
            </w:r>
          </w:p>
        </w:tc>
        <w:tc>
          <w:tcPr/>
          <w:p>
            <w:pPr>
              <w:pStyle w:val="Compact"/>
              <w:jc w:val="right"/>
            </w:pPr>
            <w:r>
              <w:t xml:space="preserve">(64, 32) (11); (32,) (2); (128, 64) (2)</w:t>
            </w:r>
          </w:p>
        </w:tc>
      </w:tr>
      <w:tr>
        <w:tc>
          <w:tcPr/>
          <w:p>
            <w:pPr>
              <w:pStyle w:val="Compact"/>
            </w:pPr>
            <w:r>
              <w:t xml:space="preserve">cann</w:t>
            </w:r>
          </w:p>
        </w:tc>
        <w:tc>
          <w:tcPr/>
          <w:p>
            <w:pPr>
              <w:pStyle w:val="Compact"/>
              <w:jc w:val="right"/>
            </w:pPr>
            <w:r>
              <w:t xml:space="preserve">epochs</w:t>
            </w:r>
          </w:p>
        </w:tc>
        <w:tc>
          <w:tcPr/>
          <w:p>
            <w:pPr>
              <w:pStyle w:val="Compact"/>
              <w:jc w:val="right"/>
            </w:pPr>
            <w:r>
              <w:t xml:space="preserve">25 (10); 26 (5)</w:t>
            </w:r>
          </w:p>
        </w:tc>
      </w:tr>
    </w:tbl>
    <w:p>
      <w:pPr>
        <w:pStyle w:val="BodyText"/>
      </w:pPr>
      <w:r>
        <w:rPr>
          <w:b/>
          <w:bCs/>
        </w:rPr>
        <w:t xml:space="preserve">Table A6.</w:t>
      </w:r>
      <w:r>
        <w:t xml:space="preserve"> </w:t>
      </w:r>
      <w:r>
        <w:t xml:space="preserve">Year-1 CCSR categories entering the feature sets.</w:t>
      </w:r>
    </w:p>
    <w:p>
      <w:pPr>
        <w:pStyle w:val="BodyText"/>
      </w:pPr>
      <w:r>
        <w:rPr>
          <w:i/>
          <w:iCs/>
        </w:rPr>
        <w:t xml:space="preserve">Categories held by at least 0.5% of the sample in year 1. MEPS body-system placeholder codes (XXX000) are excluded.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CCSR</w:t>
            </w:r>
          </w:p>
        </w:tc>
        <w:tc>
          <w:tcPr/>
          <w:p>
            <w:pPr>
              <w:pStyle w:val="Compact"/>
              <w:jc w:val="right"/>
            </w:pPr>
            <w:r>
              <w:t xml:space="preserve">Description</w:t>
            </w:r>
          </w:p>
        </w:tc>
        <w:tc>
          <w:tcPr/>
          <w:p>
            <w:pPr>
              <w:pStyle w:val="Compact"/>
              <w:jc w:val="right"/>
            </w:pPr>
            <w:r>
              <w:t xml:space="preserve">Prevalence</w:t>
            </w:r>
          </w:p>
        </w:tc>
      </w:tr>
      <w:tr>
        <w:tc>
          <w:tcPr/>
          <w:p>
            <w:pPr>
              <w:pStyle w:val="Compact"/>
            </w:pPr>
            <w:r>
              <w:t xml:space="preserve">CIR007</w:t>
            </w:r>
          </w:p>
        </w:tc>
        <w:tc>
          <w:tcPr/>
          <w:p>
            <w:pPr>
              <w:pStyle w:val="Compact"/>
              <w:jc w:val="right"/>
            </w:pPr>
            <w:r>
              <w:t xml:space="preserve">Essential hypertension</w:t>
            </w:r>
          </w:p>
        </w:tc>
        <w:tc>
          <w:tcPr/>
          <w:p>
            <w:pPr>
              <w:pStyle w:val="Compact"/>
              <w:jc w:val="right"/>
            </w:pPr>
            <w:r>
              <w:t xml:space="preserve">22.13%</w:t>
            </w:r>
          </w:p>
        </w:tc>
      </w:tr>
      <w:tr>
        <w:tc>
          <w:tcPr/>
          <w:p>
            <w:pPr>
              <w:pStyle w:val="Compact"/>
            </w:pPr>
            <w:r>
              <w:t xml:space="preserve">END010</w:t>
            </w:r>
          </w:p>
        </w:tc>
        <w:tc>
          <w:tcPr/>
          <w:p>
            <w:pPr>
              <w:pStyle w:val="Compact"/>
              <w:jc w:val="right"/>
            </w:pPr>
            <w:r>
              <w:t xml:space="preserve">Disorders of lipid metabolism</w:t>
            </w:r>
          </w:p>
        </w:tc>
        <w:tc>
          <w:tcPr/>
          <w:p>
            <w:pPr>
              <w:pStyle w:val="Compact"/>
              <w:jc w:val="right"/>
            </w:pPr>
            <w:r>
              <w:t xml:space="preserve">16.78%</w:t>
            </w:r>
          </w:p>
        </w:tc>
      </w:tr>
      <w:tr>
        <w:tc>
          <w:tcPr/>
          <w:p>
            <w:pPr>
              <w:pStyle w:val="Compact"/>
            </w:pPr>
            <w:r>
              <w:t xml:space="preserve">MUS010</w:t>
            </w:r>
          </w:p>
        </w:tc>
        <w:tc>
          <w:tcPr/>
          <w:p>
            <w:pPr>
              <w:pStyle w:val="Compact"/>
              <w:jc w:val="right"/>
            </w:pPr>
            <w:r>
              <w:t xml:space="preserve">Musculoskeletal pain, not low back pain</w:t>
            </w:r>
          </w:p>
        </w:tc>
        <w:tc>
          <w:tcPr/>
          <w:p>
            <w:pPr>
              <w:pStyle w:val="Compact"/>
              <w:jc w:val="right"/>
            </w:pPr>
            <w:r>
              <w:t xml:space="preserve">9.59%</w:t>
            </w:r>
          </w:p>
        </w:tc>
      </w:tr>
      <w:tr>
        <w:tc>
          <w:tcPr/>
          <w:p>
            <w:pPr>
              <w:pStyle w:val="Compact"/>
            </w:pPr>
            <w:r>
              <w:t xml:space="preserve">END005</w:t>
            </w:r>
          </w:p>
        </w:tc>
        <w:tc>
          <w:tcPr/>
          <w:p>
            <w:pPr>
              <w:pStyle w:val="Compact"/>
              <w:jc w:val="right"/>
            </w:pPr>
            <w:r>
              <w:t xml:space="preserve">Diabetes mellitus, Type 2</w:t>
            </w:r>
          </w:p>
        </w:tc>
        <w:tc>
          <w:tcPr/>
          <w:p>
            <w:pPr>
              <w:pStyle w:val="Compact"/>
              <w:jc w:val="right"/>
            </w:pPr>
            <w:r>
              <w:t xml:space="preserve">9.53%</w:t>
            </w:r>
          </w:p>
        </w:tc>
      </w:tr>
      <w:tr>
        <w:tc>
          <w:tcPr/>
          <w:p>
            <w:pPr>
              <w:pStyle w:val="Compact"/>
            </w:pPr>
            <w:r>
              <w:t xml:space="preserve">END002</w:t>
            </w:r>
          </w:p>
        </w:tc>
        <w:tc>
          <w:tcPr/>
          <w:p>
            <w:pPr>
              <w:pStyle w:val="Compact"/>
              <w:jc w:val="right"/>
            </w:pPr>
            <w:r>
              <w:t xml:space="preserve">Diabetes mellitus without complication</w:t>
            </w:r>
          </w:p>
        </w:tc>
        <w:tc>
          <w:tcPr/>
          <w:p>
            <w:pPr>
              <w:pStyle w:val="Compact"/>
              <w:jc w:val="right"/>
            </w:pPr>
            <w:r>
              <w:t xml:space="preserve">9.53%</w:t>
            </w:r>
          </w:p>
        </w:tc>
      </w:tr>
      <w:tr>
        <w:tc>
          <w:tcPr/>
          <w:p>
            <w:pPr>
              <w:pStyle w:val="Compact"/>
            </w:pPr>
            <w:r>
              <w:t xml:space="preserve">MBD005</w:t>
            </w:r>
          </w:p>
        </w:tc>
        <w:tc>
          <w:tcPr/>
          <w:p>
            <w:pPr>
              <w:pStyle w:val="Compact"/>
              <w:jc w:val="right"/>
            </w:pPr>
            <w:r>
              <w:t xml:space="preserve">Anxiety and fear-related disorders</w:t>
            </w:r>
          </w:p>
        </w:tc>
        <w:tc>
          <w:tcPr/>
          <w:p>
            <w:pPr>
              <w:pStyle w:val="Compact"/>
              <w:jc w:val="right"/>
            </w:pPr>
            <w:r>
              <w:t xml:space="preserve">8.03%</w:t>
            </w:r>
          </w:p>
        </w:tc>
      </w:tr>
      <w:tr>
        <w:tc>
          <w:tcPr/>
          <w:p>
            <w:pPr>
              <w:pStyle w:val="Compact"/>
            </w:pPr>
            <w:r>
              <w:t xml:space="preserve">MBD002</w:t>
            </w:r>
          </w:p>
        </w:tc>
        <w:tc>
          <w:tcPr/>
          <w:p>
            <w:pPr>
              <w:pStyle w:val="Compact"/>
              <w:jc w:val="right"/>
            </w:pPr>
            <w:r>
              <w:t xml:space="preserve">Depressive disorders</w:t>
            </w:r>
          </w:p>
        </w:tc>
        <w:tc>
          <w:tcPr/>
          <w:p>
            <w:pPr>
              <w:pStyle w:val="Compact"/>
              <w:jc w:val="right"/>
            </w:pPr>
            <w:r>
              <w:t xml:space="preserve">7.06%</w:t>
            </w:r>
          </w:p>
        </w:tc>
      </w:tr>
      <w:tr>
        <w:tc>
          <w:tcPr/>
          <w:p>
            <w:pPr>
              <w:pStyle w:val="Compact"/>
            </w:pPr>
            <w:r>
              <w:t xml:space="preserve">END001</w:t>
            </w:r>
          </w:p>
        </w:tc>
        <w:tc>
          <w:tcPr/>
          <w:p>
            <w:pPr>
              <w:pStyle w:val="Compact"/>
              <w:jc w:val="right"/>
            </w:pPr>
            <w:r>
              <w:t xml:space="preserve">Thyroid disorders</w:t>
            </w:r>
          </w:p>
        </w:tc>
        <w:tc>
          <w:tcPr/>
          <w:p>
            <w:pPr>
              <w:pStyle w:val="Compact"/>
              <w:jc w:val="right"/>
            </w:pPr>
            <w:r>
              <w:t xml:space="preserve">7.01%</w:t>
            </w:r>
          </w:p>
        </w:tc>
      </w:tr>
      <w:tr>
        <w:tc>
          <w:tcPr/>
          <w:p>
            <w:pPr>
              <w:pStyle w:val="Compact"/>
            </w:pPr>
            <w:r>
              <w:t xml:space="preserve">MUS006</w:t>
            </w:r>
          </w:p>
        </w:tc>
        <w:tc>
          <w:tcPr/>
          <w:p>
            <w:pPr>
              <w:pStyle w:val="Compact"/>
              <w:jc w:val="right"/>
            </w:pPr>
            <w:r>
              <w:t xml:space="preserve">Osteoarthritis</w:t>
            </w:r>
          </w:p>
        </w:tc>
        <w:tc>
          <w:tcPr/>
          <w:p>
            <w:pPr>
              <w:pStyle w:val="Compact"/>
              <w:jc w:val="right"/>
            </w:pPr>
            <w:r>
              <w:t xml:space="preserve">6.68%</w:t>
            </w:r>
          </w:p>
        </w:tc>
      </w:tr>
      <w:tr>
        <w:tc>
          <w:tcPr/>
          <w:p>
            <w:pPr>
              <w:pStyle w:val="Compact"/>
            </w:pPr>
            <w:r>
              <w:t xml:space="preserve">RSP009</w:t>
            </w:r>
          </w:p>
        </w:tc>
        <w:tc>
          <w:tcPr/>
          <w:p>
            <w:pPr>
              <w:pStyle w:val="Compact"/>
              <w:jc w:val="right"/>
            </w:pPr>
            <w:r>
              <w:t xml:space="preserve">Asthma</w:t>
            </w:r>
          </w:p>
        </w:tc>
        <w:tc>
          <w:tcPr/>
          <w:p>
            <w:pPr>
              <w:pStyle w:val="Compact"/>
              <w:jc w:val="right"/>
            </w:pPr>
            <w:r>
              <w:t xml:space="preserve">6.32%</w:t>
            </w:r>
          </w:p>
        </w:tc>
      </w:tr>
      <w:tr>
        <w:tc>
          <w:tcPr/>
          <w:p>
            <w:pPr>
              <w:pStyle w:val="Compact"/>
            </w:pPr>
            <w:r>
              <w:t xml:space="preserve">DIG004</w:t>
            </w:r>
          </w:p>
        </w:tc>
        <w:tc>
          <w:tcPr/>
          <w:p>
            <w:pPr>
              <w:pStyle w:val="Compact"/>
              <w:jc w:val="right"/>
            </w:pPr>
            <w:r>
              <w:t xml:space="preserve">Esophageal disorders</w:t>
            </w:r>
          </w:p>
        </w:tc>
        <w:tc>
          <w:tcPr/>
          <w:p>
            <w:pPr>
              <w:pStyle w:val="Compact"/>
              <w:jc w:val="right"/>
            </w:pPr>
            <w:r>
              <w:t xml:space="preserve">5.89%</w:t>
            </w:r>
          </w:p>
        </w:tc>
      </w:tr>
      <w:tr>
        <w:tc>
          <w:tcPr/>
          <w:p>
            <w:pPr>
              <w:pStyle w:val="Compact"/>
            </w:pPr>
            <w:r>
              <w:t xml:space="preserve">NVS016</w:t>
            </w:r>
          </w:p>
        </w:tc>
        <w:tc>
          <w:tcPr/>
          <w:p>
            <w:pPr>
              <w:pStyle w:val="Compact"/>
              <w:jc w:val="right"/>
            </w:pPr>
            <w:r>
              <w:t xml:space="preserve">Sleep wake disorders</w:t>
            </w:r>
          </w:p>
        </w:tc>
        <w:tc>
          <w:tcPr/>
          <w:p>
            <w:pPr>
              <w:pStyle w:val="Compact"/>
              <w:jc w:val="right"/>
            </w:pPr>
            <w:r>
              <w:t xml:space="preserve">5.41%</w:t>
            </w:r>
          </w:p>
        </w:tc>
      </w:tr>
      <w:tr>
        <w:tc>
          <w:tcPr/>
          <w:p>
            <w:pPr>
              <w:pStyle w:val="Compact"/>
            </w:pPr>
            <w:r>
              <w:t xml:space="preserve">SKN007</w:t>
            </w:r>
          </w:p>
        </w:tc>
        <w:tc>
          <w:tcPr/>
          <w:p>
            <w:pPr>
              <w:pStyle w:val="Compact"/>
              <w:jc w:val="right"/>
            </w:pPr>
            <w:r>
              <w:t xml:space="preserve">Other specified and unspecified skin disorders</w:t>
            </w:r>
          </w:p>
        </w:tc>
        <w:tc>
          <w:tcPr/>
          <w:p>
            <w:pPr>
              <w:pStyle w:val="Compact"/>
              <w:jc w:val="right"/>
            </w:pPr>
            <w:r>
              <w:t xml:space="preserve">4.94%</w:t>
            </w:r>
          </w:p>
        </w:tc>
      </w:tr>
      <w:tr>
        <w:tc>
          <w:tcPr/>
          <w:p>
            <w:pPr>
              <w:pStyle w:val="Compact"/>
            </w:pPr>
            <w:r>
              <w:t xml:space="preserve">FAC016</w:t>
            </w:r>
          </w:p>
        </w:tc>
        <w:tc>
          <w:tcPr/>
          <w:p>
            <w:pPr>
              <w:pStyle w:val="Compact"/>
              <w:jc w:val="right"/>
            </w:pPr>
            <w:r>
              <w:t xml:space="preserve">Exposure, encounters, screening or contact with infectious disease</w:t>
            </w:r>
          </w:p>
        </w:tc>
        <w:tc>
          <w:tcPr/>
          <w:p>
            <w:pPr>
              <w:pStyle w:val="Compact"/>
              <w:jc w:val="right"/>
            </w:pPr>
            <w:r>
              <w:t xml:space="preserve">4.78%</w:t>
            </w:r>
          </w:p>
        </w:tc>
      </w:tr>
      <w:tr>
        <w:tc>
          <w:tcPr/>
          <w:p>
            <w:pPr>
              <w:pStyle w:val="Compact"/>
            </w:pPr>
            <w:r>
              <w:t xml:space="preserve">MUS011</w:t>
            </w:r>
          </w:p>
        </w:tc>
        <w:tc>
          <w:tcPr/>
          <w:p>
            <w:pPr>
              <w:pStyle w:val="Compact"/>
              <w:jc w:val="right"/>
            </w:pPr>
            <w:r>
              <w:t xml:space="preserve">Spondylopathies/spondyloarthropathy (including infective)</w:t>
            </w:r>
          </w:p>
        </w:tc>
        <w:tc>
          <w:tcPr/>
          <w:p>
            <w:pPr>
              <w:pStyle w:val="Compact"/>
              <w:jc w:val="right"/>
            </w:pPr>
            <w:r>
              <w:t xml:space="preserve">4.48%</w:t>
            </w:r>
          </w:p>
        </w:tc>
      </w:tr>
      <w:tr>
        <w:tc>
          <w:tcPr/>
          <w:p>
            <w:pPr>
              <w:pStyle w:val="Compact"/>
            </w:pPr>
            <w:r>
              <w:t xml:space="preserve">RSP006</w:t>
            </w:r>
          </w:p>
        </w:tc>
        <w:tc>
          <w:tcPr/>
          <w:p>
            <w:pPr>
              <w:pStyle w:val="Compact"/>
              <w:jc w:val="right"/>
            </w:pPr>
            <w:r>
              <w:t xml:space="preserve">Other specified upper respiratory infections</w:t>
            </w:r>
          </w:p>
        </w:tc>
        <w:tc>
          <w:tcPr/>
          <w:p>
            <w:pPr>
              <w:pStyle w:val="Compact"/>
              <w:jc w:val="right"/>
            </w:pPr>
            <w:r>
              <w:t xml:space="preserve">4.24%</w:t>
            </w:r>
          </w:p>
        </w:tc>
      </w:tr>
      <w:tr>
        <w:tc>
          <w:tcPr/>
          <w:p>
            <w:pPr>
              <w:pStyle w:val="Compact"/>
            </w:pPr>
            <w:r>
              <w:t xml:space="preserve">INJ031</w:t>
            </w:r>
          </w:p>
        </w:tc>
        <w:tc>
          <w:tcPr/>
          <w:p>
            <w:pPr>
              <w:pStyle w:val="Compact"/>
              <w:jc w:val="right"/>
            </w:pPr>
            <w:r>
              <w:t xml:space="preserve">Allergic reactions</w:t>
            </w:r>
          </w:p>
        </w:tc>
        <w:tc>
          <w:tcPr/>
          <w:p>
            <w:pPr>
              <w:pStyle w:val="Compact"/>
              <w:jc w:val="right"/>
            </w:pPr>
            <w:r>
              <w:t xml:space="preserve">3.92%</w:t>
            </w:r>
          </w:p>
        </w:tc>
      </w:tr>
      <w:tr>
        <w:tc>
          <w:tcPr/>
          <w:p>
            <w:pPr>
              <w:pStyle w:val="Compact"/>
            </w:pPr>
            <w:r>
              <w:t xml:space="preserve">SYM016</w:t>
            </w:r>
          </w:p>
        </w:tc>
        <w:tc>
          <w:tcPr/>
          <w:p>
            <w:pPr>
              <w:pStyle w:val="Compact"/>
              <w:jc w:val="right"/>
            </w:pPr>
            <w:r>
              <w:t xml:space="preserve">Other general signs and symptoms</w:t>
            </w:r>
          </w:p>
        </w:tc>
        <w:tc>
          <w:tcPr/>
          <w:p>
            <w:pPr>
              <w:pStyle w:val="Compact"/>
              <w:jc w:val="right"/>
            </w:pPr>
            <w:r>
              <w:t xml:space="preserve">3.76%</w:t>
            </w:r>
          </w:p>
        </w:tc>
      </w:tr>
      <w:tr>
        <w:tc>
          <w:tcPr/>
          <w:p>
            <w:pPr>
              <w:pStyle w:val="Compact"/>
            </w:pPr>
            <w:r>
              <w:t xml:space="preserve">RSP007</w:t>
            </w:r>
          </w:p>
        </w:tc>
        <w:tc>
          <w:tcPr/>
          <w:p>
            <w:pPr>
              <w:pStyle w:val="Compact"/>
              <w:jc w:val="right"/>
            </w:pPr>
            <w:r>
              <w:t xml:space="preserve">Other specified and unspecified upper respiratory disease</w:t>
            </w:r>
          </w:p>
        </w:tc>
        <w:tc>
          <w:tcPr/>
          <w:p>
            <w:pPr>
              <w:pStyle w:val="Compact"/>
              <w:jc w:val="right"/>
            </w:pPr>
            <w:r>
              <w:t xml:space="preserve">3.67%</w:t>
            </w:r>
          </w:p>
        </w:tc>
      </w:tr>
      <w:tr>
        <w:tc>
          <w:tcPr/>
          <w:p>
            <w:pPr>
              <w:pStyle w:val="Compact"/>
            </w:pPr>
            <w:r>
              <w:t xml:space="preserve">MBD014</w:t>
            </w:r>
          </w:p>
        </w:tc>
        <w:tc>
          <w:tcPr/>
          <w:p>
            <w:pPr>
              <w:pStyle w:val="Compact"/>
              <w:jc w:val="right"/>
            </w:pPr>
            <w:r>
              <w:t xml:space="preserve">Neurodevelopmental disorders</w:t>
            </w:r>
          </w:p>
        </w:tc>
        <w:tc>
          <w:tcPr/>
          <w:p>
            <w:pPr>
              <w:pStyle w:val="Compact"/>
              <w:jc w:val="right"/>
            </w:pPr>
            <w:r>
              <w:t xml:space="preserve">3.11%</w:t>
            </w:r>
          </w:p>
        </w:tc>
      </w:tr>
      <w:tr>
        <w:tc>
          <w:tcPr/>
          <w:p>
            <w:pPr>
              <w:pStyle w:val="Compact"/>
            </w:pPr>
            <w:r>
              <w:t xml:space="preserve">INJ067</w:t>
            </w:r>
          </w:p>
        </w:tc>
        <w:tc>
          <w:tcPr/>
          <w:p>
            <w:pPr>
              <w:pStyle w:val="Compact"/>
              <w:jc w:val="right"/>
            </w:pPr>
            <w:r>
              <w:t xml:space="preserve">Allergic reactions, subsequent encounter</w:t>
            </w:r>
          </w:p>
        </w:tc>
        <w:tc>
          <w:tcPr/>
          <w:p>
            <w:pPr>
              <w:pStyle w:val="Compact"/>
              <w:jc w:val="right"/>
            </w:pPr>
            <w:r>
              <w:t xml:space="preserve">3.11%</w:t>
            </w:r>
          </w:p>
        </w:tc>
      </w:tr>
      <w:tr>
        <w:tc>
          <w:tcPr/>
          <w:p>
            <w:pPr>
              <w:pStyle w:val="Compact"/>
            </w:pPr>
            <w:r>
              <w:t xml:space="preserve">INJ064</w:t>
            </w:r>
          </w:p>
        </w:tc>
        <w:tc>
          <w:tcPr/>
          <w:p>
            <w:pPr>
              <w:pStyle w:val="Compact"/>
              <w:jc w:val="right"/>
            </w:pPr>
            <w:r>
              <w:t xml:space="preserve">Other unspecified injuries, subsequent encounter</w:t>
            </w:r>
          </w:p>
        </w:tc>
        <w:tc>
          <w:tcPr/>
          <w:p>
            <w:pPr>
              <w:pStyle w:val="Compact"/>
              <w:jc w:val="right"/>
            </w:pPr>
            <w:r>
              <w:t xml:space="preserve">2.95%</w:t>
            </w:r>
          </w:p>
        </w:tc>
      </w:tr>
      <w:tr>
        <w:tc>
          <w:tcPr/>
          <w:p>
            <w:pPr>
              <w:pStyle w:val="Compact"/>
            </w:pPr>
            <w:r>
              <w:t xml:space="preserve">CIR011</w:t>
            </w:r>
          </w:p>
        </w:tc>
        <w:tc>
          <w:tcPr/>
          <w:p>
            <w:pPr>
              <w:pStyle w:val="Compact"/>
              <w:jc w:val="right"/>
            </w:pPr>
            <w:r>
              <w:t xml:space="preserve">Coronary atherosclerosis and other heart disease</w:t>
            </w:r>
          </w:p>
        </w:tc>
        <w:tc>
          <w:tcPr/>
          <w:p>
            <w:pPr>
              <w:pStyle w:val="Compact"/>
              <w:jc w:val="right"/>
            </w:pPr>
            <w:r>
              <w:t xml:space="preserve">2.93%</w:t>
            </w:r>
          </w:p>
        </w:tc>
      </w:tr>
      <w:tr>
        <w:tc>
          <w:tcPr/>
          <w:p>
            <w:pPr>
              <w:pStyle w:val="Compact"/>
            </w:pPr>
            <w:r>
              <w:t xml:space="preserve">MUS025</w:t>
            </w:r>
          </w:p>
        </w:tc>
        <w:tc>
          <w:tcPr/>
          <w:p>
            <w:pPr>
              <w:pStyle w:val="Compact"/>
              <w:jc w:val="right"/>
            </w:pPr>
            <w:r>
              <w:t xml:space="preserve">Other specified connective tissue disease</w:t>
            </w:r>
          </w:p>
        </w:tc>
        <w:tc>
          <w:tcPr/>
          <w:p>
            <w:pPr>
              <w:pStyle w:val="Compact"/>
              <w:jc w:val="right"/>
            </w:pPr>
            <w:r>
              <w:t xml:space="preserve">2.93%</w:t>
            </w:r>
          </w:p>
        </w:tc>
      </w:tr>
      <w:tr>
        <w:tc>
          <w:tcPr/>
          <w:p>
            <w:pPr>
              <w:pStyle w:val="Compact"/>
            </w:pPr>
            <w:r>
              <w:t xml:space="preserve">INF012</w:t>
            </w:r>
          </w:p>
        </w:tc>
        <w:tc>
          <w:tcPr/>
          <w:p>
            <w:pPr>
              <w:pStyle w:val="Compact"/>
              <w:jc w:val="right"/>
            </w:pPr>
            <w:r>
              <w:t xml:space="preserve">Coronavirus disease – 2019 (COVID-19)</w:t>
            </w:r>
          </w:p>
        </w:tc>
        <w:tc>
          <w:tcPr/>
          <w:p>
            <w:pPr>
              <w:pStyle w:val="Compact"/>
              <w:jc w:val="right"/>
            </w:pPr>
            <w:r>
              <w:t xml:space="preserve">2.90%</w:t>
            </w:r>
          </w:p>
        </w:tc>
      </w:tr>
      <w:tr>
        <w:tc>
          <w:tcPr/>
          <w:p>
            <w:pPr>
              <w:pStyle w:val="Compact"/>
            </w:pPr>
            <w:r>
              <w:t xml:space="preserve">GEN004</w:t>
            </w:r>
          </w:p>
        </w:tc>
        <w:tc>
          <w:tcPr/>
          <w:p>
            <w:pPr>
              <w:pStyle w:val="Compact"/>
              <w:jc w:val="right"/>
            </w:pPr>
            <w:r>
              <w:t xml:space="preserve">Urinary tract infections</w:t>
            </w:r>
          </w:p>
        </w:tc>
        <w:tc>
          <w:tcPr/>
          <w:p>
            <w:pPr>
              <w:pStyle w:val="Compact"/>
              <w:jc w:val="right"/>
            </w:pPr>
            <w:r>
              <w:t xml:space="preserve">2.69%</w:t>
            </w:r>
          </w:p>
        </w:tc>
      </w:tr>
      <w:tr>
        <w:tc>
          <w:tcPr/>
          <w:p>
            <w:pPr>
              <w:pStyle w:val="Compact"/>
            </w:pPr>
            <w:r>
              <w:t xml:space="preserve">NVS010</w:t>
            </w:r>
          </w:p>
        </w:tc>
        <w:tc>
          <w:tcPr/>
          <w:p>
            <w:pPr>
              <w:pStyle w:val="Compact"/>
              <w:jc w:val="right"/>
            </w:pPr>
            <w:r>
              <w:t xml:space="preserve">Headache; including migraine</w:t>
            </w:r>
          </w:p>
        </w:tc>
        <w:tc>
          <w:tcPr/>
          <w:p>
            <w:pPr>
              <w:pStyle w:val="Compact"/>
              <w:jc w:val="right"/>
            </w:pPr>
            <w:r>
              <w:t xml:space="preserve">2.68%</w:t>
            </w:r>
          </w:p>
        </w:tc>
      </w:tr>
      <w:tr>
        <w:tc>
          <w:tcPr/>
          <w:p>
            <w:pPr>
              <w:pStyle w:val="Compact"/>
            </w:pPr>
            <w:r>
              <w:t xml:space="preserve">SYM013</w:t>
            </w:r>
          </w:p>
        </w:tc>
        <w:tc>
          <w:tcPr/>
          <w:p>
            <w:pPr>
              <w:pStyle w:val="Compact"/>
              <w:jc w:val="right"/>
            </w:pPr>
            <w:r>
              <w:t xml:space="preserve">Respiratory signs and symptoms</w:t>
            </w:r>
          </w:p>
        </w:tc>
        <w:tc>
          <w:tcPr/>
          <w:p>
            <w:pPr>
              <w:pStyle w:val="Compact"/>
              <w:jc w:val="right"/>
            </w:pPr>
            <w:r>
              <w:t xml:space="preserve">2.67%</w:t>
            </w:r>
          </w:p>
        </w:tc>
      </w:tr>
      <w:tr>
        <w:tc>
          <w:tcPr/>
          <w:p>
            <w:pPr>
              <w:pStyle w:val="Compact"/>
            </w:pPr>
            <w:r>
              <w:t xml:space="preserve">RSP003</w:t>
            </w:r>
          </w:p>
        </w:tc>
        <w:tc>
          <w:tcPr/>
          <w:p>
            <w:pPr>
              <w:pStyle w:val="Compact"/>
              <w:jc w:val="right"/>
            </w:pPr>
            <w:r>
              <w:t xml:space="preserve">Influenza</w:t>
            </w:r>
          </w:p>
        </w:tc>
        <w:tc>
          <w:tcPr/>
          <w:p>
            <w:pPr>
              <w:pStyle w:val="Compact"/>
              <w:jc w:val="right"/>
            </w:pPr>
            <w:r>
              <w:t xml:space="preserve">2.56%</w:t>
            </w:r>
          </w:p>
        </w:tc>
      </w:tr>
      <w:tr>
        <w:tc>
          <w:tcPr/>
          <w:p>
            <w:pPr>
              <w:pStyle w:val="Compact"/>
            </w:pPr>
            <w:r>
              <w:t xml:space="preserve">INF008</w:t>
            </w:r>
          </w:p>
        </w:tc>
        <w:tc>
          <w:tcPr/>
          <w:p>
            <w:pPr>
              <w:pStyle w:val="Compact"/>
              <w:jc w:val="right"/>
            </w:pPr>
            <w:r>
              <w:t xml:space="preserve">Viral infection</w:t>
            </w:r>
          </w:p>
        </w:tc>
        <w:tc>
          <w:tcPr/>
          <w:p>
            <w:pPr>
              <w:pStyle w:val="Compact"/>
              <w:jc w:val="right"/>
            </w:pPr>
            <w:r>
              <w:t xml:space="preserve">2.53%</w:t>
            </w:r>
          </w:p>
        </w:tc>
      </w:tr>
      <w:tr>
        <w:tc>
          <w:tcPr/>
          <w:p>
            <w:pPr>
              <w:pStyle w:val="Compact"/>
            </w:pPr>
            <w:r>
              <w:t xml:space="preserve">SKN002</w:t>
            </w:r>
          </w:p>
        </w:tc>
        <w:tc>
          <w:tcPr/>
          <w:p>
            <w:pPr>
              <w:pStyle w:val="Compact"/>
              <w:jc w:val="right"/>
            </w:pPr>
            <w:r>
              <w:t xml:space="preserve">Other specified inflammatory condition of skin</w:t>
            </w:r>
          </w:p>
        </w:tc>
        <w:tc>
          <w:tcPr/>
          <w:p>
            <w:pPr>
              <w:pStyle w:val="Compact"/>
              <w:jc w:val="right"/>
            </w:pPr>
            <w:r>
              <w:t xml:space="preserve">2.44%</w:t>
            </w:r>
          </w:p>
        </w:tc>
      </w:tr>
      <w:tr>
        <w:tc>
          <w:tcPr/>
          <w:p>
            <w:pPr>
              <w:pStyle w:val="Compact"/>
            </w:pPr>
            <w:r>
              <w:t xml:space="preserve">EYE002</w:t>
            </w:r>
          </w:p>
        </w:tc>
        <w:tc>
          <w:tcPr/>
          <w:p>
            <w:pPr>
              <w:pStyle w:val="Compact"/>
              <w:jc w:val="right"/>
            </w:pPr>
            <w:r>
              <w:t xml:space="preserve">Cataract and other lens disorders</w:t>
            </w:r>
          </w:p>
        </w:tc>
        <w:tc>
          <w:tcPr/>
          <w:p>
            <w:pPr>
              <w:pStyle w:val="Compact"/>
              <w:jc w:val="right"/>
            </w:pPr>
            <w:r>
              <w:t xml:space="preserve">2.31%</w:t>
            </w:r>
          </w:p>
        </w:tc>
      </w:tr>
      <w:tr>
        <w:tc>
          <w:tcPr/>
          <w:p>
            <w:pPr>
              <w:pStyle w:val="Compact"/>
            </w:pPr>
            <w:r>
              <w:t xml:space="preserve">SYM006</w:t>
            </w:r>
          </w:p>
        </w:tc>
        <w:tc>
          <w:tcPr/>
          <w:p>
            <w:pPr>
              <w:pStyle w:val="Compact"/>
              <w:jc w:val="right"/>
            </w:pPr>
            <w:r>
              <w:t xml:space="preserve">Abdominal pain and other digestive/abdomen signs and symptoms</w:t>
            </w:r>
          </w:p>
        </w:tc>
        <w:tc>
          <w:tcPr/>
          <w:p>
            <w:pPr>
              <w:pStyle w:val="Compact"/>
              <w:jc w:val="right"/>
            </w:pPr>
            <w:r>
              <w:t xml:space="preserve">2.30%</w:t>
            </w:r>
          </w:p>
        </w:tc>
      </w:tr>
      <w:tr>
        <w:tc>
          <w:tcPr/>
          <w:p>
            <w:pPr>
              <w:pStyle w:val="Compact"/>
            </w:pPr>
            <w:r>
              <w:t xml:space="preserve">RSP001</w:t>
            </w:r>
          </w:p>
        </w:tc>
        <w:tc>
          <w:tcPr/>
          <w:p>
            <w:pPr>
              <w:pStyle w:val="Compact"/>
              <w:jc w:val="right"/>
            </w:pPr>
            <w:r>
              <w:t xml:space="preserve">Sinusitis</w:t>
            </w:r>
          </w:p>
        </w:tc>
        <w:tc>
          <w:tcPr/>
          <w:p>
            <w:pPr>
              <w:pStyle w:val="Compact"/>
              <w:jc w:val="right"/>
            </w:pPr>
            <w:r>
              <w:t xml:space="preserve">2.29%</w:t>
            </w:r>
          </w:p>
        </w:tc>
      </w:tr>
      <w:tr>
        <w:tc>
          <w:tcPr/>
          <w:p>
            <w:pPr>
              <w:pStyle w:val="Compact"/>
            </w:pPr>
            <w:r>
              <w:t xml:space="preserve">MUS038</w:t>
            </w:r>
          </w:p>
        </w:tc>
        <w:tc>
          <w:tcPr/>
          <w:p>
            <w:pPr>
              <w:pStyle w:val="Compact"/>
              <w:jc w:val="right"/>
            </w:pPr>
            <w:r>
              <w:t xml:space="preserve">Low back pain</w:t>
            </w:r>
          </w:p>
        </w:tc>
        <w:tc>
          <w:tcPr/>
          <w:p>
            <w:pPr>
              <w:pStyle w:val="Compact"/>
              <w:jc w:val="right"/>
            </w:pPr>
            <w:r>
              <w:t xml:space="preserve">2.25%</w:t>
            </w:r>
          </w:p>
        </w:tc>
      </w:tr>
      <w:tr>
        <w:tc>
          <w:tcPr/>
          <w:p>
            <w:pPr>
              <w:pStyle w:val="Compact"/>
            </w:pPr>
            <w:r>
              <w:t xml:space="preserve">CIR017</w:t>
            </w:r>
          </w:p>
        </w:tc>
        <w:tc>
          <w:tcPr/>
          <w:p>
            <w:pPr>
              <w:pStyle w:val="Compact"/>
              <w:jc w:val="right"/>
            </w:pPr>
            <w:r>
              <w:t xml:space="preserve">Cardiac dysrhythmias</w:t>
            </w:r>
          </w:p>
        </w:tc>
        <w:tc>
          <w:tcPr/>
          <w:p>
            <w:pPr>
              <w:pStyle w:val="Compact"/>
              <w:jc w:val="right"/>
            </w:pPr>
            <w:r>
              <w:t xml:space="preserve">2.24%</w:t>
            </w:r>
          </w:p>
        </w:tc>
      </w:tr>
      <w:tr>
        <w:tc>
          <w:tcPr/>
          <w:p>
            <w:pPr>
              <w:pStyle w:val="Compact"/>
            </w:pPr>
            <w:r>
              <w:t xml:space="preserve">EAR001</w:t>
            </w:r>
          </w:p>
        </w:tc>
        <w:tc>
          <w:tcPr/>
          <w:p>
            <w:pPr>
              <w:pStyle w:val="Compact"/>
              <w:jc w:val="right"/>
            </w:pPr>
            <w:r>
              <w:t xml:space="preserve">Otitis media</w:t>
            </w:r>
          </w:p>
        </w:tc>
        <w:tc>
          <w:tcPr/>
          <w:p>
            <w:pPr>
              <w:pStyle w:val="Compact"/>
              <w:jc w:val="right"/>
            </w:pPr>
            <w:r>
              <w:t xml:space="preserve">2.07%</w:t>
            </w:r>
          </w:p>
        </w:tc>
      </w:tr>
      <w:tr>
        <w:tc>
          <w:tcPr/>
          <w:p>
            <w:pPr>
              <w:pStyle w:val="Compact"/>
            </w:pPr>
            <w:r>
              <w:t xml:space="preserve">DIG025</w:t>
            </w:r>
          </w:p>
        </w:tc>
        <w:tc>
          <w:tcPr/>
          <w:p>
            <w:pPr>
              <w:pStyle w:val="Compact"/>
              <w:jc w:val="right"/>
            </w:pPr>
            <w:r>
              <w:t xml:space="preserve">Other specified and unspecified gastrointestinal disorders</w:t>
            </w:r>
          </w:p>
        </w:tc>
        <w:tc>
          <w:tcPr/>
          <w:p>
            <w:pPr>
              <w:pStyle w:val="Compact"/>
              <w:jc w:val="right"/>
            </w:pPr>
            <w:r>
              <w:t xml:space="preserve">2.07%</w:t>
            </w:r>
          </w:p>
        </w:tc>
      </w:tr>
      <w:tr>
        <w:tc>
          <w:tcPr/>
          <w:p>
            <w:pPr>
              <w:pStyle w:val="Compact"/>
            </w:pPr>
            <w:r>
              <w:t xml:space="preserve">END007</w:t>
            </w:r>
          </w:p>
        </w:tc>
        <w:tc>
          <w:tcPr/>
          <w:p>
            <w:pPr>
              <w:pStyle w:val="Compact"/>
              <w:jc w:val="right"/>
            </w:pPr>
            <w:r>
              <w:t xml:space="preserve">Nutritional deficiencies</w:t>
            </w:r>
          </w:p>
        </w:tc>
        <w:tc>
          <w:tcPr/>
          <w:p>
            <w:pPr>
              <w:pStyle w:val="Compact"/>
              <w:jc w:val="right"/>
            </w:pPr>
            <w:r>
              <w:t xml:space="preserve">2.04%</w:t>
            </w:r>
          </w:p>
        </w:tc>
      </w:tr>
      <w:tr>
        <w:tc>
          <w:tcPr/>
          <w:p>
            <w:pPr>
              <w:pStyle w:val="Compact"/>
            </w:pPr>
            <w:r>
              <w:t xml:space="preserve">FAC014</w:t>
            </w:r>
          </w:p>
        </w:tc>
        <w:tc>
          <w:tcPr/>
          <w:p>
            <w:pPr>
              <w:pStyle w:val="Compact"/>
              <w:jc w:val="right"/>
            </w:pPr>
            <w:r>
              <w:t xml:space="preserve">Medical examination/evaluation</w:t>
            </w:r>
          </w:p>
        </w:tc>
        <w:tc>
          <w:tcPr/>
          <w:p>
            <w:pPr>
              <w:pStyle w:val="Compact"/>
              <w:jc w:val="right"/>
            </w:pPr>
            <w:r>
              <w:t xml:space="preserve">2.02%</w:t>
            </w:r>
          </w:p>
        </w:tc>
      </w:tr>
      <w:tr>
        <w:tc>
          <w:tcPr/>
          <w:p>
            <w:pPr>
              <w:pStyle w:val="Compact"/>
            </w:pPr>
            <w:r>
              <w:t xml:space="preserve">INF003</w:t>
            </w:r>
          </w:p>
        </w:tc>
        <w:tc>
          <w:tcPr/>
          <w:p>
            <w:pPr>
              <w:pStyle w:val="Compact"/>
              <w:jc w:val="right"/>
            </w:pPr>
            <w:r>
              <w:t xml:space="preserve">Bacterial infections</w:t>
            </w:r>
          </w:p>
        </w:tc>
        <w:tc>
          <w:tcPr/>
          <w:p>
            <w:pPr>
              <w:pStyle w:val="Compact"/>
              <w:jc w:val="right"/>
            </w:pPr>
            <w:r>
              <w:t xml:space="preserve">2.01%</w:t>
            </w:r>
          </w:p>
        </w:tc>
      </w:tr>
      <w:tr>
        <w:tc>
          <w:tcPr/>
          <w:p>
            <w:pPr>
              <w:pStyle w:val="Compact"/>
            </w:pPr>
            <w:r>
              <w:t xml:space="preserve">INJ061</w:t>
            </w:r>
          </w:p>
        </w:tc>
        <w:tc>
          <w:tcPr/>
          <w:p>
            <w:pPr>
              <w:pStyle w:val="Compact"/>
              <w:jc w:val="right"/>
            </w:pPr>
            <w:r>
              <w:t xml:space="preserve">Sprains and strains, subsequent encounter</w:t>
            </w:r>
          </w:p>
        </w:tc>
        <w:tc>
          <w:tcPr/>
          <w:p>
            <w:pPr>
              <w:pStyle w:val="Compact"/>
              <w:jc w:val="right"/>
            </w:pPr>
            <w:r>
              <w:t xml:space="preserve">2.01%</w:t>
            </w:r>
          </w:p>
        </w:tc>
      </w:tr>
      <w:tr>
        <w:tc>
          <w:tcPr/>
          <w:p>
            <w:pPr>
              <w:pStyle w:val="Compact"/>
            </w:pPr>
            <w:r>
              <w:t xml:space="preserve">SYM010</w:t>
            </w:r>
          </w:p>
        </w:tc>
        <w:tc>
          <w:tcPr/>
          <w:p>
            <w:pPr>
              <w:pStyle w:val="Compact"/>
              <w:jc w:val="right"/>
            </w:pPr>
            <w:r>
              <w:t xml:space="preserve">Nervous system signs and symptoms</w:t>
            </w:r>
          </w:p>
        </w:tc>
        <w:tc>
          <w:tcPr/>
          <w:p>
            <w:pPr>
              <w:pStyle w:val="Compact"/>
              <w:jc w:val="right"/>
            </w:pPr>
            <w:r>
              <w:t xml:space="preserve">2.01%</w:t>
            </w:r>
          </w:p>
        </w:tc>
      </w:tr>
      <w:tr>
        <w:tc>
          <w:tcPr/>
          <w:p>
            <w:pPr>
              <w:pStyle w:val="Compact"/>
            </w:pPr>
            <w:r>
              <w:t xml:space="preserve">FAC003</w:t>
            </w:r>
          </w:p>
        </w:tc>
        <w:tc>
          <w:tcPr/>
          <w:p>
            <w:pPr>
              <w:pStyle w:val="Compact"/>
              <w:jc w:val="right"/>
            </w:pPr>
            <w:r>
              <w:t xml:space="preserve">Encounter for observation and examination for conditions ruled out (excludes infectious disease, neoplasm, mental disorders)</w:t>
            </w:r>
          </w:p>
        </w:tc>
        <w:tc>
          <w:tcPr/>
          <w:p>
            <w:pPr>
              <w:pStyle w:val="Compact"/>
              <w:jc w:val="right"/>
            </w:pPr>
            <w:r>
              <w:t xml:space="preserve">1.95%</w:t>
            </w:r>
          </w:p>
        </w:tc>
      </w:tr>
      <w:tr>
        <w:tc>
          <w:tcPr/>
          <w:p>
            <w:pPr>
              <w:pStyle w:val="Compact"/>
            </w:pPr>
            <w:r>
              <w:t xml:space="preserve">SYM014</w:t>
            </w:r>
          </w:p>
        </w:tc>
        <w:tc>
          <w:tcPr/>
          <w:p>
            <w:pPr>
              <w:pStyle w:val="Compact"/>
              <w:jc w:val="right"/>
            </w:pPr>
            <w:r>
              <w:t xml:space="preserve">Skin/Subcutaneous signs and symptoms</w:t>
            </w:r>
          </w:p>
        </w:tc>
        <w:tc>
          <w:tcPr/>
          <w:p>
            <w:pPr>
              <w:pStyle w:val="Compact"/>
              <w:jc w:val="right"/>
            </w:pPr>
            <w:r>
              <w:t xml:space="preserve">1.94%</w:t>
            </w:r>
          </w:p>
        </w:tc>
      </w:tr>
      <w:tr>
        <w:tc>
          <w:tcPr/>
          <w:p>
            <w:pPr>
              <w:pStyle w:val="Compact"/>
            </w:pPr>
            <w:r>
              <w:t xml:space="preserve">DIG002</w:t>
            </w:r>
          </w:p>
        </w:tc>
        <w:tc>
          <w:tcPr/>
          <w:p>
            <w:pPr>
              <w:pStyle w:val="Compact"/>
              <w:jc w:val="right"/>
            </w:pPr>
            <w:r>
              <w:t xml:space="preserve">Disorders of teeth and gingiva</w:t>
            </w:r>
          </w:p>
        </w:tc>
        <w:tc>
          <w:tcPr/>
          <w:p>
            <w:pPr>
              <w:pStyle w:val="Compact"/>
              <w:jc w:val="right"/>
            </w:pPr>
            <w:r>
              <w:t xml:space="preserve">1.93%</w:t>
            </w:r>
          </w:p>
        </w:tc>
      </w:tr>
      <w:tr>
        <w:tc>
          <w:tcPr/>
          <w:p>
            <w:pPr>
              <w:pStyle w:val="Compact"/>
            </w:pPr>
            <w:r>
              <w:t xml:space="preserve">FAC012</w:t>
            </w:r>
          </w:p>
        </w:tc>
        <w:tc>
          <w:tcPr/>
          <w:p>
            <w:pPr>
              <w:pStyle w:val="Compact"/>
              <w:jc w:val="right"/>
            </w:pPr>
            <w:r>
              <w:t xml:space="preserve">Other specified encounters and counseling</w:t>
            </w:r>
          </w:p>
        </w:tc>
        <w:tc>
          <w:tcPr/>
          <w:p>
            <w:pPr>
              <w:pStyle w:val="Compact"/>
              <w:jc w:val="right"/>
            </w:pPr>
            <w:r>
              <w:t xml:space="preserve">1.91%</w:t>
            </w:r>
          </w:p>
        </w:tc>
      </w:tr>
      <w:tr>
        <w:tc>
          <w:tcPr/>
          <w:p>
            <w:pPr>
              <w:pStyle w:val="Compact"/>
            </w:pPr>
            <w:r>
              <w:t xml:space="preserve">SYM017</w:t>
            </w:r>
          </w:p>
        </w:tc>
        <w:tc>
          <w:tcPr/>
          <w:p>
            <w:pPr>
              <w:pStyle w:val="Compact"/>
              <w:jc w:val="right"/>
            </w:pPr>
            <w:r>
              <w:t xml:space="preserve">Abnormal findings without diagnosis</w:t>
            </w:r>
          </w:p>
        </w:tc>
        <w:tc>
          <w:tcPr/>
          <w:p>
            <w:pPr>
              <w:pStyle w:val="Compact"/>
              <w:jc w:val="right"/>
            </w:pPr>
            <w:r>
              <w:t xml:space="preserve">1.89%</w:t>
            </w:r>
          </w:p>
        </w:tc>
      </w:tr>
      <w:tr>
        <w:tc>
          <w:tcPr/>
          <w:p>
            <w:pPr>
              <w:pStyle w:val="Compact"/>
            </w:pPr>
            <w:r>
              <w:t xml:space="preserve">MBD007</w:t>
            </w:r>
          </w:p>
        </w:tc>
        <w:tc>
          <w:tcPr/>
          <w:p>
            <w:pPr>
              <w:pStyle w:val="Compact"/>
              <w:jc w:val="right"/>
            </w:pPr>
            <w:r>
              <w:t xml:space="preserve">Trauma- and stressor-related disorders</w:t>
            </w:r>
          </w:p>
        </w:tc>
        <w:tc>
          <w:tcPr/>
          <w:p>
            <w:pPr>
              <w:pStyle w:val="Compact"/>
              <w:jc w:val="right"/>
            </w:pPr>
            <w:r>
              <w:t xml:space="preserve">1.76%</w:t>
            </w:r>
          </w:p>
        </w:tc>
      </w:tr>
      <w:tr>
        <w:tc>
          <w:tcPr/>
          <w:p>
            <w:pPr>
              <w:pStyle w:val="Compact"/>
            </w:pPr>
            <w:r>
              <w:t xml:space="preserve">FAC009</w:t>
            </w:r>
          </w:p>
        </w:tc>
        <w:tc>
          <w:tcPr/>
          <w:p>
            <w:pPr>
              <w:pStyle w:val="Compact"/>
              <w:jc w:val="right"/>
            </w:pPr>
            <w:r>
              <w:t xml:space="preserve">Implant, device or graft related encounter</w:t>
            </w:r>
          </w:p>
        </w:tc>
        <w:tc>
          <w:tcPr/>
          <w:p>
            <w:pPr>
              <w:pStyle w:val="Compact"/>
              <w:jc w:val="right"/>
            </w:pPr>
            <w:r>
              <w:t xml:space="preserve">1.75%</w:t>
            </w:r>
          </w:p>
        </w:tc>
      </w:tr>
      <w:tr>
        <w:tc>
          <w:tcPr/>
          <w:p>
            <w:pPr>
              <w:pStyle w:val="Compact"/>
            </w:pPr>
            <w:r>
              <w:t xml:space="preserve">EYE003</w:t>
            </w:r>
          </w:p>
        </w:tc>
        <w:tc>
          <w:tcPr/>
          <w:p>
            <w:pPr>
              <w:pStyle w:val="Compact"/>
              <w:jc w:val="right"/>
            </w:pPr>
            <w:r>
              <w:t xml:space="preserve">Glaucoma</w:t>
            </w:r>
          </w:p>
        </w:tc>
        <w:tc>
          <w:tcPr/>
          <w:p>
            <w:pPr>
              <w:pStyle w:val="Compact"/>
              <w:jc w:val="right"/>
            </w:pPr>
            <w:r>
              <w:t xml:space="preserve">1.73%</w:t>
            </w:r>
          </w:p>
        </w:tc>
      </w:tr>
      <w:tr>
        <w:tc>
          <w:tcPr/>
          <w:p>
            <w:pPr>
              <w:pStyle w:val="Compact"/>
            </w:pPr>
            <w:r>
              <w:t xml:space="preserve">NEO028</w:t>
            </w:r>
          </w:p>
        </w:tc>
        <w:tc>
          <w:tcPr/>
          <w:p>
            <w:pPr>
              <w:pStyle w:val="Compact"/>
              <w:jc w:val="right"/>
            </w:pPr>
            <w:r>
              <w:t xml:space="preserve">Skin cancers - all other types</w:t>
            </w:r>
          </w:p>
        </w:tc>
        <w:tc>
          <w:tcPr/>
          <w:p>
            <w:pPr>
              <w:pStyle w:val="Compact"/>
              <w:jc w:val="right"/>
            </w:pPr>
            <w:r>
              <w:t xml:space="preserve">1.70%</w:t>
            </w:r>
          </w:p>
        </w:tc>
      </w:tr>
      <w:tr>
        <w:tc>
          <w:tcPr/>
          <w:p>
            <w:pPr>
              <w:pStyle w:val="Compact"/>
            </w:pPr>
            <w:r>
              <w:t xml:space="preserve">SYM012</w:t>
            </w:r>
          </w:p>
        </w:tc>
        <w:tc>
          <w:tcPr/>
          <w:p>
            <w:pPr>
              <w:pStyle w:val="Compact"/>
              <w:jc w:val="right"/>
            </w:pPr>
            <w:r>
              <w:t xml:space="preserve">Circulatory signs and symptoms</w:t>
            </w:r>
          </w:p>
        </w:tc>
        <w:tc>
          <w:tcPr/>
          <w:p>
            <w:pPr>
              <w:pStyle w:val="Compact"/>
              <w:jc w:val="right"/>
            </w:pPr>
            <w:r>
              <w:t xml:space="preserve">1.69%</w:t>
            </w:r>
          </w:p>
        </w:tc>
      </w:tr>
      <w:tr>
        <w:tc>
          <w:tcPr/>
          <w:p>
            <w:pPr>
              <w:pStyle w:val="Compact"/>
            </w:pPr>
            <w:r>
              <w:t xml:space="preserve">FAC013</w:t>
            </w:r>
          </w:p>
        </w:tc>
        <w:tc>
          <w:tcPr/>
          <w:p>
            <w:pPr>
              <w:pStyle w:val="Compact"/>
              <w:jc w:val="right"/>
            </w:pPr>
            <w:r>
              <w:t xml:space="preserve">Contraceptive and procreative management</w:t>
            </w:r>
          </w:p>
        </w:tc>
        <w:tc>
          <w:tcPr/>
          <w:p>
            <w:pPr>
              <w:pStyle w:val="Compact"/>
              <w:jc w:val="right"/>
            </w:pPr>
            <w:r>
              <w:t xml:space="preserve">1.68%</w:t>
            </w:r>
          </w:p>
        </w:tc>
      </w:tr>
      <w:tr>
        <w:tc>
          <w:tcPr/>
          <w:p>
            <w:pPr>
              <w:pStyle w:val="Compact"/>
            </w:pPr>
            <w:r>
              <w:t xml:space="preserve">EYE009</w:t>
            </w:r>
          </w:p>
        </w:tc>
        <w:tc>
          <w:tcPr/>
          <w:p>
            <w:pPr>
              <w:pStyle w:val="Compact"/>
              <w:jc w:val="right"/>
            </w:pPr>
            <w:r>
              <w:t xml:space="preserve">Refractive error</w:t>
            </w:r>
          </w:p>
        </w:tc>
        <w:tc>
          <w:tcPr/>
          <w:p>
            <w:pPr>
              <w:pStyle w:val="Compact"/>
              <w:jc w:val="right"/>
            </w:pPr>
            <w:r>
              <w:t xml:space="preserve">1.67%</w:t>
            </w:r>
          </w:p>
        </w:tc>
      </w:tr>
      <w:tr>
        <w:tc>
          <w:tcPr/>
          <w:p>
            <w:pPr>
              <w:pStyle w:val="Compact"/>
            </w:pPr>
            <w:r>
              <w:t xml:space="preserve">RSP008</w:t>
            </w:r>
          </w:p>
        </w:tc>
        <w:tc>
          <w:tcPr/>
          <w:p>
            <w:pPr>
              <w:pStyle w:val="Compact"/>
              <w:jc w:val="right"/>
            </w:pPr>
            <w:r>
              <w:t xml:space="preserve">Chronic obstructive pulmonary disease and bronchiectasis</w:t>
            </w:r>
          </w:p>
        </w:tc>
        <w:tc>
          <w:tcPr/>
          <w:p>
            <w:pPr>
              <w:pStyle w:val="Compact"/>
              <w:jc w:val="right"/>
            </w:pPr>
            <w:r>
              <w:t xml:space="preserve">1.66%</w:t>
            </w:r>
          </w:p>
        </w:tc>
      </w:tr>
      <w:tr>
        <w:tc>
          <w:tcPr/>
          <w:p>
            <w:pPr>
              <w:pStyle w:val="Compact"/>
            </w:pPr>
            <w:r>
              <w:t xml:space="preserve">MUS003</w:t>
            </w:r>
          </w:p>
        </w:tc>
        <w:tc>
          <w:tcPr/>
          <w:p>
            <w:pPr>
              <w:pStyle w:val="Compact"/>
              <w:jc w:val="right"/>
            </w:pPr>
            <w:r>
              <w:t xml:space="preserve">Rheumatoid arthritis and related disease</w:t>
            </w:r>
          </w:p>
        </w:tc>
        <w:tc>
          <w:tcPr/>
          <w:p>
            <w:pPr>
              <w:pStyle w:val="Compact"/>
              <w:jc w:val="right"/>
            </w:pPr>
            <w:r>
              <w:t xml:space="preserve">1.62%</w:t>
            </w:r>
          </w:p>
        </w:tc>
      </w:tr>
      <w:tr>
        <w:tc>
          <w:tcPr/>
          <w:p>
            <w:pPr>
              <w:pStyle w:val="Compact"/>
            </w:pPr>
            <w:r>
              <w:t xml:space="preserve">CIR009</w:t>
            </w:r>
          </w:p>
        </w:tc>
        <w:tc>
          <w:tcPr/>
          <w:p>
            <w:pPr>
              <w:pStyle w:val="Compact"/>
              <w:jc w:val="right"/>
            </w:pPr>
            <w:r>
              <w:t xml:space="preserve">Acute myocardial infarction</w:t>
            </w:r>
          </w:p>
        </w:tc>
        <w:tc>
          <w:tcPr/>
          <w:p>
            <w:pPr>
              <w:pStyle w:val="Compact"/>
              <w:jc w:val="right"/>
            </w:pPr>
            <w:r>
              <w:t xml:space="preserve">1.54%</w:t>
            </w:r>
          </w:p>
        </w:tc>
      </w:tr>
      <w:tr>
        <w:tc>
          <w:tcPr/>
          <w:p>
            <w:pPr>
              <w:pStyle w:val="Compact"/>
            </w:pPr>
            <w:r>
              <w:t xml:space="preserve">MUS007</w:t>
            </w:r>
          </w:p>
        </w:tc>
        <w:tc>
          <w:tcPr/>
          <w:p>
            <w:pPr>
              <w:pStyle w:val="Compact"/>
              <w:jc w:val="right"/>
            </w:pPr>
            <w:r>
              <w:t xml:space="preserve">Other specified joint disorders</w:t>
            </w:r>
          </w:p>
        </w:tc>
        <w:tc>
          <w:tcPr/>
          <w:p>
            <w:pPr>
              <w:pStyle w:val="Compact"/>
              <w:jc w:val="right"/>
            </w:pPr>
            <w:r>
              <w:t xml:space="preserve">1.50%</w:t>
            </w:r>
          </w:p>
        </w:tc>
      </w:tr>
      <w:tr>
        <w:tc>
          <w:tcPr/>
          <w:p>
            <w:pPr>
              <w:pStyle w:val="Compact"/>
            </w:pPr>
            <w:r>
              <w:t xml:space="preserve">EYE005</w:t>
            </w:r>
          </w:p>
        </w:tc>
        <w:tc>
          <w:tcPr/>
          <w:p>
            <w:pPr>
              <w:pStyle w:val="Compact"/>
              <w:jc w:val="right"/>
            </w:pPr>
            <w:r>
              <w:t xml:space="preserve">Retinal and vitreous conditions</w:t>
            </w:r>
          </w:p>
        </w:tc>
        <w:tc>
          <w:tcPr/>
          <w:p>
            <w:pPr>
              <w:pStyle w:val="Compact"/>
              <w:jc w:val="right"/>
            </w:pPr>
            <w:r>
              <w:t xml:space="preserve">1.42%</w:t>
            </w:r>
          </w:p>
        </w:tc>
      </w:tr>
      <w:tr>
        <w:tc>
          <w:tcPr/>
          <w:p>
            <w:pPr>
              <w:pStyle w:val="Compact"/>
            </w:pPr>
            <w:r>
              <w:t xml:space="preserve">FAC025</w:t>
            </w:r>
          </w:p>
        </w:tc>
        <w:tc>
          <w:tcPr/>
          <w:p>
            <w:pPr>
              <w:pStyle w:val="Compact"/>
              <w:jc w:val="right"/>
            </w:pPr>
            <w:r>
              <w:t xml:space="preserve">Other specified status</w:t>
            </w:r>
          </w:p>
        </w:tc>
        <w:tc>
          <w:tcPr/>
          <w:p>
            <w:pPr>
              <w:pStyle w:val="Compact"/>
              <w:jc w:val="right"/>
            </w:pPr>
            <w:r>
              <w:t xml:space="preserve">1.38%</w:t>
            </w:r>
          </w:p>
        </w:tc>
      </w:tr>
      <w:tr>
        <w:tc>
          <w:tcPr/>
          <w:p>
            <w:pPr>
              <w:pStyle w:val="Compact"/>
            </w:pPr>
            <w:r>
              <w:t xml:space="preserve">INF004</w:t>
            </w:r>
          </w:p>
        </w:tc>
        <w:tc>
          <w:tcPr/>
          <w:p>
            <w:pPr>
              <w:pStyle w:val="Compact"/>
              <w:jc w:val="right"/>
            </w:pPr>
            <w:r>
              <w:t xml:space="preserve">Fungal infections</w:t>
            </w:r>
          </w:p>
        </w:tc>
        <w:tc>
          <w:tcPr/>
          <w:p>
            <w:pPr>
              <w:pStyle w:val="Compact"/>
              <w:jc w:val="right"/>
            </w:pPr>
            <w:r>
              <w:t xml:space="preserve">1.38%</w:t>
            </w:r>
          </w:p>
        </w:tc>
      </w:tr>
      <w:tr>
        <w:tc>
          <w:tcPr/>
          <w:p>
            <w:pPr>
              <w:pStyle w:val="Compact"/>
            </w:pPr>
            <w:r>
              <w:t xml:space="preserve">RSP005</w:t>
            </w:r>
          </w:p>
        </w:tc>
        <w:tc>
          <w:tcPr/>
          <w:p>
            <w:pPr>
              <w:pStyle w:val="Compact"/>
              <w:jc w:val="right"/>
            </w:pPr>
            <w:r>
              <w:t xml:space="preserve">Acute bronchitis</w:t>
            </w:r>
          </w:p>
        </w:tc>
        <w:tc>
          <w:tcPr/>
          <w:p>
            <w:pPr>
              <w:pStyle w:val="Compact"/>
              <w:jc w:val="right"/>
            </w:pPr>
            <w:r>
              <w:t xml:space="preserve">1.34%</w:t>
            </w:r>
          </w:p>
        </w:tc>
      </w:tr>
      <w:tr>
        <w:tc>
          <w:tcPr/>
          <w:p>
            <w:pPr>
              <w:pStyle w:val="Compact"/>
            </w:pPr>
            <w:r>
              <w:t xml:space="preserve">PRG029</w:t>
            </w:r>
          </w:p>
        </w:tc>
        <w:tc>
          <w:tcPr/>
          <w:p>
            <w:pPr>
              <w:pStyle w:val="Compact"/>
              <w:jc w:val="right"/>
            </w:pPr>
            <w:r>
              <w:t xml:space="preserve">Uncomplicated pregnancy, delivery or puerperium</w:t>
            </w:r>
          </w:p>
        </w:tc>
        <w:tc>
          <w:tcPr/>
          <w:p>
            <w:pPr>
              <w:pStyle w:val="Compact"/>
              <w:jc w:val="right"/>
            </w:pPr>
            <w:r>
              <w:t xml:space="preserve">1.30%</w:t>
            </w:r>
          </w:p>
        </w:tc>
      </w:tr>
      <w:tr>
        <w:tc>
          <w:tcPr/>
          <w:p>
            <w:pPr>
              <w:pStyle w:val="Compact"/>
            </w:pPr>
            <w:r>
              <w:t xml:space="preserve">EAR006</w:t>
            </w:r>
          </w:p>
        </w:tc>
        <w:tc>
          <w:tcPr/>
          <w:p>
            <w:pPr>
              <w:pStyle w:val="Compact"/>
              <w:jc w:val="right"/>
            </w:pPr>
            <w:r>
              <w:t xml:space="preserve">Other specified and unspecified disorders of the ear</w:t>
            </w:r>
          </w:p>
        </w:tc>
        <w:tc>
          <w:tcPr/>
          <w:p>
            <w:pPr>
              <w:pStyle w:val="Compact"/>
              <w:jc w:val="right"/>
            </w:pPr>
            <w:r>
              <w:t xml:space="preserve">1.29%</w:t>
            </w:r>
          </w:p>
        </w:tc>
      </w:tr>
      <w:tr>
        <w:tc>
          <w:tcPr/>
          <w:p>
            <w:pPr>
              <w:pStyle w:val="Compact"/>
            </w:pPr>
            <w:r>
              <w:t xml:space="preserve">DIG008</w:t>
            </w:r>
          </w:p>
        </w:tc>
        <w:tc>
          <w:tcPr/>
          <w:p>
            <w:pPr>
              <w:pStyle w:val="Compact"/>
              <w:jc w:val="right"/>
            </w:pPr>
            <w:r>
              <w:t xml:space="preserve">Other specified and unspecified disorders of stomach and duodenum</w:t>
            </w:r>
          </w:p>
        </w:tc>
        <w:tc>
          <w:tcPr/>
          <w:p>
            <w:pPr>
              <w:pStyle w:val="Compact"/>
              <w:jc w:val="right"/>
            </w:pPr>
            <w:r>
              <w:t xml:space="preserve">1.29%</w:t>
            </w:r>
          </w:p>
        </w:tc>
      </w:tr>
      <w:tr>
        <w:tc>
          <w:tcPr/>
          <w:p>
            <w:pPr>
              <w:pStyle w:val="Compact"/>
            </w:pPr>
            <w:r>
              <w:t xml:space="preserve">END011</w:t>
            </w:r>
          </w:p>
        </w:tc>
        <w:tc>
          <w:tcPr/>
          <w:p>
            <w:pPr>
              <w:pStyle w:val="Compact"/>
              <w:jc w:val="right"/>
            </w:pPr>
            <w:r>
              <w:t xml:space="preserve">Fluid and electrolyte disorders</w:t>
            </w:r>
          </w:p>
        </w:tc>
        <w:tc>
          <w:tcPr/>
          <w:p>
            <w:pPr>
              <w:pStyle w:val="Compact"/>
              <w:jc w:val="right"/>
            </w:pPr>
            <w:r>
              <w:t xml:space="preserve">1.29%</w:t>
            </w:r>
          </w:p>
        </w:tc>
      </w:tr>
      <w:tr>
        <w:tc>
          <w:tcPr/>
          <w:p>
            <w:pPr>
              <w:pStyle w:val="Compact"/>
            </w:pPr>
            <w:r>
              <w:t xml:space="preserve">NVS012</w:t>
            </w:r>
          </w:p>
        </w:tc>
        <w:tc>
          <w:tcPr/>
          <w:p>
            <w:pPr>
              <w:pStyle w:val="Compact"/>
              <w:jc w:val="right"/>
            </w:pPr>
            <w:r>
              <w:t xml:space="preserve">Transient cerebral ischemia</w:t>
            </w:r>
          </w:p>
        </w:tc>
        <w:tc>
          <w:tcPr/>
          <w:p>
            <w:pPr>
              <w:pStyle w:val="Compact"/>
              <w:jc w:val="right"/>
            </w:pPr>
            <w:r>
              <w:t xml:space="preserve">1.28%</w:t>
            </w:r>
          </w:p>
        </w:tc>
      </w:tr>
      <w:tr>
        <w:tc>
          <w:tcPr/>
          <w:p>
            <w:pPr>
              <w:pStyle w:val="Compact"/>
            </w:pPr>
            <w:r>
              <w:t xml:space="preserve">MUS033</w:t>
            </w:r>
          </w:p>
        </w:tc>
        <w:tc>
          <w:tcPr/>
          <w:p>
            <w:pPr>
              <w:pStyle w:val="Compact"/>
              <w:jc w:val="right"/>
            </w:pPr>
            <w:r>
              <w:t xml:space="preserve">Gout</w:t>
            </w:r>
          </w:p>
        </w:tc>
        <w:tc>
          <w:tcPr/>
          <w:p>
            <w:pPr>
              <w:pStyle w:val="Compact"/>
              <w:jc w:val="right"/>
            </w:pPr>
            <w:r>
              <w:t xml:space="preserve">1.27%</w:t>
            </w:r>
          </w:p>
        </w:tc>
      </w:tr>
      <w:tr>
        <w:tc>
          <w:tcPr/>
          <w:p>
            <w:pPr>
              <w:pStyle w:val="Compact"/>
            </w:pPr>
            <w:r>
              <w:t xml:space="preserve">NVS019</w:t>
            </w:r>
          </w:p>
        </w:tc>
        <w:tc>
          <w:tcPr/>
          <w:p>
            <w:pPr>
              <w:pStyle w:val="Compact"/>
              <w:jc w:val="right"/>
            </w:pPr>
            <w:r>
              <w:t xml:space="preserve">Nervous system pain and pain syndromes</w:t>
            </w:r>
          </w:p>
        </w:tc>
        <w:tc>
          <w:tcPr/>
          <w:p>
            <w:pPr>
              <w:pStyle w:val="Compact"/>
              <w:jc w:val="right"/>
            </w:pPr>
            <w:r>
              <w:t xml:space="preserve">1.26%</w:t>
            </w:r>
          </w:p>
        </w:tc>
      </w:tr>
      <w:tr>
        <w:tc>
          <w:tcPr/>
          <w:p>
            <w:pPr>
              <w:pStyle w:val="Compact"/>
            </w:pPr>
            <w:r>
              <w:t xml:space="preserve">NVS017</w:t>
            </w:r>
          </w:p>
        </w:tc>
        <w:tc>
          <w:tcPr/>
          <w:p>
            <w:pPr>
              <w:pStyle w:val="Compact"/>
              <w:jc w:val="right"/>
            </w:pPr>
            <w:r>
              <w:t xml:space="preserve">Nerve and nerve root disorders</w:t>
            </w:r>
          </w:p>
        </w:tc>
        <w:tc>
          <w:tcPr/>
          <w:p>
            <w:pPr>
              <w:pStyle w:val="Compact"/>
              <w:jc w:val="right"/>
            </w:pPr>
            <w:r>
              <w:t xml:space="preserve">1.22%</w:t>
            </w:r>
          </w:p>
        </w:tc>
      </w:tr>
      <w:tr>
        <w:tc>
          <w:tcPr/>
          <w:p>
            <w:pPr>
              <w:pStyle w:val="Compact"/>
            </w:pPr>
            <w:r>
              <w:t xml:space="preserve">SKN001</w:t>
            </w:r>
          </w:p>
        </w:tc>
        <w:tc>
          <w:tcPr/>
          <w:p>
            <w:pPr>
              <w:pStyle w:val="Compact"/>
              <w:jc w:val="right"/>
            </w:pPr>
            <w:r>
              <w:t xml:space="preserve">Skin and subcutaneous tissue infections</w:t>
            </w:r>
          </w:p>
        </w:tc>
        <w:tc>
          <w:tcPr/>
          <w:p>
            <w:pPr>
              <w:pStyle w:val="Compact"/>
              <w:jc w:val="right"/>
            </w:pPr>
            <w:r>
              <w:t xml:space="preserve">1.21%</w:t>
            </w:r>
          </w:p>
        </w:tc>
      </w:tr>
      <w:tr>
        <w:tc>
          <w:tcPr/>
          <w:p>
            <w:pPr>
              <w:pStyle w:val="Compact"/>
            </w:pPr>
            <w:r>
              <w:t xml:space="preserve">NEO073</w:t>
            </w:r>
          </w:p>
        </w:tc>
        <w:tc>
          <w:tcPr/>
          <w:p>
            <w:pPr>
              <w:pStyle w:val="Compact"/>
              <w:jc w:val="right"/>
            </w:pPr>
            <w:r>
              <w:t xml:space="preserve">Benign neoplasms</w:t>
            </w:r>
          </w:p>
        </w:tc>
        <w:tc>
          <w:tcPr/>
          <w:p>
            <w:pPr>
              <w:pStyle w:val="Compact"/>
              <w:jc w:val="right"/>
            </w:pPr>
            <w:r>
              <w:t xml:space="preserve">1.21%</w:t>
            </w:r>
          </w:p>
        </w:tc>
      </w:tr>
      <w:tr>
        <w:tc>
          <w:tcPr/>
          <w:p>
            <w:pPr>
              <w:pStyle w:val="Compact"/>
            </w:pPr>
            <w:r>
              <w:t xml:space="preserve">MUS009</w:t>
            </w:r>
          </w:p>
        </w:tc>
        <w:tc>
          <w:tcPr/>
          <w:p>
            <w:pPr>
              <w:pStyle w:val="Compact"/>
              <w:jc w:val="right"/>
            </w:pPr>
            <w:r>
              <w:t xml:space="preserve">Tendon and synovial disorders</w:t>
            </w:r>
          </w:p>
        </w:tc>
        <w:tc>
          <w:tcPr/>
          <w:p>
            <w:pPr>
              <w:pStyle w:val="Compact"/>
              <w:jc w:val="right"/>
            </w:pPr>
            <w:r>
              <w:t xml:space="preserve">1.18%</w:t>
            </w:r>
          </w:p>
        </w:tc>
      </w:tr>
      <w:tr>
        <w:tc>
          <w:tcPr/>
          <w:p>
            <w:pPr>
              <w:pStyle w:val="Compact"/>
            </w:pPr>
            <w:r>
              <w:t xml:space="preserve">FAC008</w:t>
            </w:r>
          </w:p>
        </w:tc>
        <w:tc>
          <w:tcPr/>
          <w:p>
            <w:pPr>
              <w:pStyle w:val="Compact"/>
              <w:jc w:val="right"/>
            </w:pPr>
            <w:r>
              <w:t xml:space="preserve">Neoplasm-related encounters</w:t>
            </w:r>
          </w:p>
        </w:tc>
        <w:tc>
          <w:tcPr/>
          <w:p>
            <w:pPr>
              <w:pStyle w:val="Compact"/>
              <w:jc w:val="right"/>
            </w:pPr>
            <w:r>
              <w:t xml:space="preserve">1.18%</w:t>
            </w:r>
          </w:p>
        </w:tc>
      </w:tr>
      <w:tr>
        <w:tc>
          <w:tcPr/>
          <w:p>
            <w:pPr>
              <w:pStyle w:val="Compact"/>
            </w:pPr>
            <w:r>
              <w:t xml:space="preserve">EAR004</w:t>
            </w:r>
          </w:p>
        </w:tc>
        <w:tc>
          <w:tcPr/>
          <w:p>
            <w:pPr>
              <w:pStyle w:val="Compact"/>
              <w:jc w:val="right"/>
            </w:pPr>
            <w:r>
              <w:t xml:space="preserve">Hearing loss</w:t>
            </w:r>
          </w:p>
        </w:tc>
        <w:tc>
          <w:tcPr/>
          <w:p>
            <w:pPr>
              <w:pStyle w:val="Compact"/>
              <w:jc w:val="right"/>
            </w:pPr>
            <w:r>
              <w:t xml:space="preserve">1.15%</w:t>
            </w:r>
          </w:p>
        </w:tc>
      </w:tr>
      <w:tr>
        <w:tc>
          <w:tcPr/>
          <w:p>
            <w:pPr>
              <w:pStyle w:val="Compact"/>
            </w:pPr>
            <w:r>
              <w:t xml:space="preserve">EYE010</w:t>
            </w:r>
          </w:p>
        </w:tc>
        <w:tc>
          <w:tcPr/>
          <w:p>
            <w:pPr>
              <w:pStyle w:val="Compact"/>
              <w:jc w:val="right"/>
            </w:pPr>
            <w:r>
              <w:t xml:space="preserve">Blindness and vision defects</w:t>
            </w:r>
          </w:p>
        </w:tc>
        <w:tc>
          <w:tcPr/>
          <w:p>
            <w:pPr>
              <w:pStyle w:val="Compact"/>
              <w:jc w:val="right"/>
            </w:pPr>
            <w:r>
              <w:t xml:space="preserve">1.12%</w:t>
            </w:r>
          </w:p>
        </w:tc>
      </w:tr>
      <w:tr>
        <w:tc>
          <w:tcPr/>
          <w:p>
            <w:pPr>
              <w:pStyle w:val="Compact"/>
            </w:pPr>
            <w:r>
              <w:t xml:space="preserve">SYM015</w:t>
            </w:r>
          </w:p>
        </w:tc>
        <w:tc>
          <w:tcPr/>
          <w:p>
            <w:pPr>
              <w:pStyle w:val="Compact"/>
              <w:jc w:val="right"/>
            </w:pPr>
            <w:r>
              <w:t xml:space="preserve">General sensation/perception signs and symptoms</w:t>
            </w:r>
          </w:p>
        </w:tc>
        <w:tc>
          <w:tcPr/>
          <w:p>
            <w:pPr>
              <w:pStyle w:val="Compact"/>
              <w:jc w:val="right"/>
            </w:pPr>
            <w:r>
              <w:t xml:space="preserve">1.11%</w:t>
            </w:r>
          </w:p>
        </w:tc>
      </w:tr>
      <w:tr>
        <w:tc>
          <w:tcPr/>
          <w:p>
            <w:pPr>
              <w:pStyle w:val="Compact"/>
            </w:pPr>
            <w:r>
              <w:t xml:space="preserve">EYE008</w:t>
            </w:r>
          </w:p>
        </w:tc>
        <w:tc>
          <w:tcPr/>
          <w:p>
            <w:pPr>
              <w:pStyle w:val="Compact"/>
              <w:jc w:val="right"/>
            </w:pPr>
            <w:r>
              <w:t xml:space="preserve">Oculofacial plastics and orbital conditions</w:t>
            </w:r>
          </w:p>
        </w:tc>
        <w:tc>
          <w:tcPr/>
          <w:p>
            <w:pPr>
              <w:pStyle w:val="Compact"/>
              <w:jc w:val="right"/>
            </w:pPr>
            <w:r>
              <w:t xml:space="preserve">1.09%</w:t>
            </w:r>
          </w:p>
        </w:tc>
      </w:tr>
      <w:tr>
        <w:tc>
          <w:tcPr/>
          <w:p>
            <w:pPr>
              <w:pStyle w:val="Compact"/>
            </w:pPr>
            <w:r>
              <w:t xml:space="preserve">GEN012</w:t>
            </w:r>
          </w:p>
        </w:tc>
        <w:tc>
          <w:tcPr/>
          <w:p>
            <w:pPr>
              <w:pStyle w:val="Compact"/>
              <w:jc w:val="right"/>
            </w:pPr>
            <w:r>
              <w:t xml:space="preserve">Hyperplasia of prostate</w:t>
            </w:r>
          </w:p>
        </w:tc>
        <w:tc>
          <w:tcPr/>
          <w:p>
            <w:pPr>
              <w:pStyle w:val="Compact"/>
              <w:jc w:val="right"/>
            </w:pPr>
            <w:r>
              <w:t xml:space="preserve">1.07%</w:t>
            </w:r>
          </w:p>
        </w:tc>
      </w:tr>
      <w:tr>
        <w:tc>
          <w:tcPr/>
          <w:p>
            <w:pPr>
              <w:pStyle w:val="Compact"/>
            </w:pPr>
            <w:r>
              <w:t xml:space="preserve">SYM004</w:t>
            </w:r>
          </w:p>
        </w:tc>
        <w:tc>
          <w:tcPr/>
          <w:p>
            <w:pPr>
              <w:pStyle w:val="Compact"/>
              <w:jc w:val="right"/>
            </w:pPr>
            <w:r>
              <w:t xml:space="preserve">Nausea and vomiting</w:t>
            </w:r>
          </w:p>
        </w:tc>
        <w:tc>
          <w:tcPr/>
          <w:p>
            <w:pPr>
              <w:pStyle w:val="Compact"/>
              <w:jc w:val="right"/>
            </w:pPr>
            <w:r>
              <w:t xml:space="preserve">1.07%</w:t>
            </w:r>
          </w:p>
        </w:tc>
      </w:tr>
      <w:tr>
        <w:tc>
          <w:tcPr/>
          <w:p>
            <w:pPr>
              <w:pStyle w:val="Compact"/>
            </w:pPr>
            <w:r>
              <w:t xml:space="preserve">RSP002</w:t>
            </w:r>
          </w:p>
        </w:tc>
        <w:tc>
          <w:tcPr/>
          <w:p>
            <w:pPr>
              <w:pStyle w:val="Compact"/>
              <w:jc w:val="right"/>
            </w:pPr>
            <w:r>
              <w:t xml:space="preserve">Pneumonia (except that caused by tuberculosis)</w:t>
            </w:r>
          </w:p>
        </w:tc>
        <w:tc>
          <w:tcPr/>
          <w:p>
            <w:pPr>
              <w:pStyle w:val="Compact"/>
              <w:jc w:val="right"/>
            </w:pPr>
            <w:r>
              <w:t xml:space="preserve">1.04%</w:t>
            </w:r>
          </w:p>
        </w:tc>
      </w:tr>
      <w:tr>
        <w:tc>
          <w:tcPr/>
          <w:p>
            <w:pPr>
              <w:pStyle w:val="Compact"/>
            </w:pPr>
            <w:r>
              <w:t xml:space="preserve">GEN006</w:t>
            </w:r>
          </w:p>
        </w:tc>
        <w:tc>
          <w:tcPr/>
          <w:p>
            <w:pPr>
              <w:pStyle w:val="Compact"/>
              <w:jc w:val="right"/>
            </w:pPr>
            <w:r>
              <w:t xml:space="preserve">Other specified and unspecified diseases of kidney and ureters</w:t>
            </w:r>
          </w:p>
        </w:tc>
        <w:tc>
          <w:tcPr/>
          <w:p>
            <w:pPr>
              <w:pStyle w:val="Compact"/>
              <w:jc w:val="right"/>
            </w:pPr>
            <w:r>
              <w:t xml:space="preserve">0.98%</w:t>
            </w:r>
          </w:p>
        </w:tc>
      </w:tr>
      <w:tr>
        <w:tc>
          <w:tcPr/>
          <w:p>
            <w:pPr>
              <w:pStyle w:val="Compact"/>
            </w:pPr>
            <w:r>
              <w:t xml:space="preserve">NVS015</w:t>
            </w:r>
          </w:p>
        </w:tc>
        <w:tc>
          <w:tcPr/>
          <w:p>
            <w:pPr>
              <w:pStyle w:val="Compact"/>
              <w:jc w:val="right"/>
            </w:pPr>
            <w:r>
              <w:t xml:space="preserve">Polyneuropathies</w:t>
            </w:r>
          </w:p>
        </w:tc>
        <w:tc>
          <w:tcPr/>
          <w:p>
            <w:pPr>
              <w:pStyle w:val="Compact"/>
              <w:jc w:val="right"/>
            </w:pPr>
            <w:r>
              <w:t xml:space="preserve">0.98%</w:t>
            </w:r>
          </w:p>
        </w:tc>
      </w:tr>
      <w:tr>
        <w:tc>
          <w:tcPr/>
          <w:p>
            <w:pPr>
              <w:pStyle w:val="Compact"/>
            </w:pPr>
            <w:r>
              <w:t xml:space="preserve">EYE012</w:t>
            </w:r>
          </w:p>
        </w:tc>
        <w:tc>
          <w:tcPr/>
          <w:p>
            <w:pPr>
              <w:pStyle w:val="Compact"/>
              <w:jc w:val="right"/>
            </w:pPr>
            <w:r>
              <w:t xml:space="preserve">Other specified eye disorders</w:t>
            </w:r>
          </w:p>
        </w:tc>
        <w:tc>
          <w:tcPr/>
          <w:p>
            <w:pPr>
              <w:pStyle w:val="Compact"/>
              <w:jc w:val="right"/>
            </w:pPr>
            <w:r>
              <w:t xml:space="preserve">0.96%</w:t>
            </w:r>
          </w:p>
        </w:tc>
      </w:tr>
      <w:tr>
        <w:tc>
          <w:tcPr/>
          <w:p>
            <w:pPr>
              <w:pStyle w:val="Compact"/>
            </w:pPr>
            <w:r>
              <w:t xml:space="preserve">END015</w:t>
            </w:r>
          </w:p>
        </w:tc>
        <w:tc>
          <w:tcPr/>
          <w:p>
            <w:pPr>
              <w:pStyle w:val="Compact"/>
              <w:jc w:val="right"/>
            </w:pPr>
            <w:r>
              <w:t xml:space="preserve">Other specified and unspecified endocrine disorders</w:t>
            </w:r>
          </w:p>
        </w:tc>
        <w:tc>
          <w:tcPr/>
          <w:p>
            <w:pPr>
              <w:pStyle w:val="Compact"/>
              <w:jc w:val="right"/>
            </w:pPr>
            <w:r>
              <w:t xml:space="preserve">0.93%</w:t>
            </w:r>
          </w:p>
        </w:tc>
      </w:tr>
      <w:tr>
        <w:tc>
          <w:tcPr/>
          <w:p>
            <w:pPr>
              <w:pStyle w:val="Compact"/>
            </w:pPr>
            <w:r>
              <w:t xml:space="preserve">CIR030</w:t>
            </w:r>
          </w:p>
        </w:tc>
        <w:tc>
          <w:tcPr/>
          <w:p>
            <w:pPr>
              <w:pStyle w:val="Compact"/>
              <w:jc w:val="right"/>
            </w:pPr>
            <w:r>
              <w:t xml:space="preserve">Aortic and peripheral arterial embolism or thrombosis</w:t>
            </w:r>
          </w:p>
        </w:tc>
        <w:tc>
          <w:tcPr/>
          <w:p>
            <w:pPr>
              <w:pStyle w:val="Compact"/>
              <w:jc w:val="right"/>
            </w:pPr>
            <w:r>
              <w:t xml:space="preserve">0.93%</w:t>
            </w:r>
          </w:p>
        </w:tc>
      </w:tr>
      <w:tr>
        <w:tc>
          <w:tcPr/>
          <w:p>
            <w:pPr>
              <w:pStyle w:val="Compact"/>
            </w:pPr>
            <w:r>
              <w:t xml:space="preserve">MUS028</w:t>
            </w:r>
          </w:p>
        </w:tc>
        <w:tc>
          <w:tcPr/>
          <w:p>
            <w:pPr>
              <w:pStyle w:val="Compact"/>
              <w:jc w:val="right"/>
            </w:pPr>
            <w:r>
              <w:t xml:space="preserve">Other specified bone disease and musculoskeletal deformities</w:t>
            </w:r>
          </w:p>
        </w:tc>
        <w:tc>
          <w:tcPr/>
          <w:p>
            <w:pPr>
              <w:pStyle w:val="Compact"/>
              <w:jc w:val="right"/>
            </w:pPr>
            <w:r>
              <w:t xml:space="preserve">0.92%</w:t>
            </w:r>
          </w:p>
        </w:tc>
      </w:tr>
      <w:tr>
        <w:tc>
          <w:tcPr/>
          <w:p>
            <w:pPr>
              <w:pStyle w:val="Compact"/>
            </w:pPr>
            <w:r>
              <w:t xml:space="preserve">MBD003</w:t>
            </w:r>
          </w:p>
        </w:tc>
        <w:tc>
          <w:tcPr/>
          <w:p>
            <w:pPr>
              <w:pStyle w:val="Compact"/>
              <w:jc w:val="right"/>
            </w:pPr>
            <w:r>
              <w:t xml:space="preserve">Bipolar and related disorders</w:t>
            </w:r>
          </w:p>
        </w:tc>
        <w:tc>
          <w:tcPr/>
          <w:p>
            <w:pPr>
              <w:pStyle w:val="Compact"/>
              <w:jc w:val="right"/>
            </w:pPr>
            <w:r>
              <w:t xml:space="preserve">0.92%</w:t>
            </w:r>
          </w:p>
        </w:tc>
      </w:tr>
      <w:tr>
        <w:tc>
          <w:tcPr/>
          <w:p>
            <w:pPr>
              <w:pStyle w:val="Compact"/>
            </w:pPr>
            <w:r>
              <w:t xml:space="preserve">NVS009</w:t>
            </w:r>
          </w:p>
        </w:tc>
        <w:tc>
          <w:tcPr/>
          <w:p>
            <w:pPr>
              <w:pStyle w:val="Compact"/>
              <w:jc w:val="right"/>
            </w:pPr>
            <w:r>
              <w:t xml:space="preserve">Epilepsy; convulsions</w:t>
            </w:r>
          </w:p>
        </w:tc>
        <w:tc>
          <w:tcPr/>
          <w:p>
            <w:pPr>
              <w:pStyle w:val="Compact"/>
              <w:jc w:val="right"/>
            </w:pPr>
            <w:r>
              <w:t xml:space="preserve">0.92%</w:t>
            </w:r>
          </w:p>
        </w:tc>
      </w:tr>
      <w:tr>
        <w:tc>
          <w:tcPr/>
          <w:p>
            <w:pPr>
              <w:pStyle w:val="Compact"/>
            </w:pPr>
            <w:r>
              <w:t xml:space="preserve">GEN023</w:t>
            </w:r>
          </w:p>
        </w:tc>
        <w:tc>
          <w:tcPr/>
          <w:p>
            <w:pPr>
              <w:pStyle w:val="Compact"/>
              <w:jc w:val="right"/>
            </w:pPr>
            <w:r>
              <w:t xml:space="preserve">Menopausal disorders</w:t>
            </w:r>
          </w:p>
        </w:tc>
        <w:tc>
          <w:tcPr/>
          <w:p>
            <w:pPr>
              <w:pStyle w:val="Compact"/>
              <w:jc w:val="right"/>
            </w:pPr>
            <w:r>
              <w:t xml:space="preserve">0.91%</w:t>
            </w:r>
          </w:p>
        </w:tc>
      </w:tr>
      <w:tr>
        <w:tc>
          <w:tcPr/>
          <w:p>
            <w:pPr>
              <w:pStyle w:val="Compact"/>
            </w:pPr>
            <w:r>
              <w:t xml:space="preserve">NEO030</w:t>
            </w:r>
          </w:p>
        </w:tc>
        <w:tc>
          <w:tcPr/>
          <w:p>
            <w:pPr>
              <w:pStyle w:val="Compact"/>
              <w:jc w:val="right"/>
            </w:pPr>
            <w:r>
              <w:t xml:space="preserve">Breast cancer - all other types</w:t>
            </w:r>
          </w:p>
        </w:tc>
        <w:tc>
          <w:tcPr/>
          <w:p>
            <w:pPr>
              <w:pStyle w:val="Compact"/>
              <w:jc w:val="right"/>
            </w:pPr>
            <w:r>
              <w:t xml:space="preserve">0.90%</w:t>
            </w:r>
          </w:p>
        </w:tc>
      </w:tr>
      <w:tr>
        <w:tc>
          <w:tcPr/>
          <w:p>
            <w:pPr>
              <w:pStyle w:val="Compact"/>
            </w:pPr>
            <w:r>
              <w:t xml:space="preserve">GEN005</w:t>
            </w:r>
          </w:p>
        </w:tc>
        <w:tc>
          <w:tcPr/>
          <w:p>
            <w:pPr>
              <w:pStyle w:val="Compact"/>
              <w:jc w:val="right"/>
            </w:pPr>
            <w:r>
              <w:t xml:space="preserve">Calculus of urinary tract</w:t>
            </w:r>
          </w:p>
        </w:tc>
        <w:tc>
          <w:tcPr/>
          <w:p>
            <w:pPr>
              <w:pStyle w:val="Compact"/>
              <w:jc w:val="right"/>
            </w:pPr>
            <w:r>
              <w:t xml:space="preserve">0.85%</w:t>
            </w:r>
          </w:p>
        </w:tc>
      </w:tr>
      <w:tr>
        <w:tc>
          <w:tcPr/>
          <w:p>
            <w:pPr>
              <w:pStyle w:val="Compact"/>
            </w:pPr>
            <w:r>
              <w:t xml:space="preserve">EYE001</w:t>
            </w:r>
          </w:p>
        </w:tc>
        <w:tc>
          <w:tcPr/>
          <w:p>
            <w:pPr>
              <w:pStyle w:val="Compact"/>
              <w:jc w:val="right"/>
            </w:pPr>
            <w:r>
              <w:t xml:space="preserve">Cornea and external disease</w:t>
            </w:r>
          </w:p>
        </w:tc>
        <w:tc>
          <w:tcPr/>
          <w:p>
            <w:pPr>
              <w:pStyle w:val="Compact"/>
              <w:jc w:val="right"/>
            </w:pPr>
            <w:r>
              <w:t xml:space="preserve">0.85%</w:t>
            </w:r>
          </w:p>
        </w:tc>
      </w:tr>
      <w:tr>
        <w:tc>
          <w:tcPr/>
          <w:p>
            <w:pPr>
              <w:pStyle w:val="Compact"/>
            </w:pPr>
            <w:r>
              <w:t xml:space="preserve">NEO072</w:t>
            </w:r>
          </w:p>
        </w:tc>
        <w:tc>
          <w:tcPr/>
          <w:p>
            <w:pPr>
              <w:pStyle w:val="Compact"/>
              <w:jc w:val="right"/>
            </w:pPr>
            <w:r>
              <w:t xml:space="preserve">Neoplasms of unspecified nature or uncertain behavior</w:t>
            </w:r>
          </w:p>
        </w:tc>
        <w:tc>
          <w:tcPr/>
          <w:p>
            <w:pPr>
              <w:pStyle w:val="Compact"/>
              <w:jc w:val="right"/>
            </w:pPr>
            <w:r>
              <w:t xml:space="preserve">0.82%</w:t>
            </w:r>
          </w:p>
        </w:tc>
      </w:tr>
      <w:tr>
        <w:tc>
          <w:tcPr/>
          <w:p>
            <w:pPr>
              <w:pStyle w:val="Compact"/>
            </w:pPr>
            <w:r>
              <w:t xml:space="preserve">INJ042</w:t>
            </w:r>
          </w:p>
        </w:tc>
        <w:tc>
          <w:tcPr/>
          <w:p>
            <w:pPr>
              <w:pStyle w:val="Compact"/>
              <w:jc w:val="right"/>
            </w:pPr>
            <w:r>
              <w:t xml:space="preserve">Fracture of lower limb (except hip), subsequent encounter</w:t>
            </w:r>
          </w:p>
        </w:tc>
        <w:tc>
          <w:tcPr/>
          <w:p>
            <w:pPr>
              <w:pStyle w:val="Compact"/>
              <w:jc w:val="right"/>
            </w:pPr>
            <w:r>
              <w:t xml:space="preserve">0.81%</w:t>
            </w:r>
          </w:p>
        </w:tc>
      </w:tr>
      <w:tr>
        <w:tc>
          <w:tcPr/>
          <w:p>
            <w:pPr>
              <w:pStyle w:val="Compact"/>
            </w:pPr>
            <w:r>
              <w:t xml:space="preserve">MUS026</w:t>
            </w:r>
          </w:p>
        </w:tc>
        <w:tc>
          <w:tcPr/>
          <w:p>
            <w:pPr>
              <w:pStyle w:val="Compact"/>
              <w:jc w:val="right"/>
            </w:pPr>
            <w:r>
              <w:t xml:space="preserve">Muscle disorders</w:t>
            </w:r>
          </w:p>
        </w:tc>
        <w:tc>
          <w:tcPr/>
          <w:p>
            <w:pPr>
              <w:pStyle w:val="Compact"/>
              <w:jc w:val="right"/>
            </w:pPr>
            <w:r>
              <w:t xml:space="preserve">0.80%</w:t>
            </w:r>
          </w:p>
        </w:tc>
      </w:tr>
      <w:tr>
        <w:tc>
          <w:tcPr/>
          <w:p>
            <w:pPr>
              <w:pStyle w:val="Compact"/>
            </w:pPr>
            <w:r>
              <w:t xml:space="preserve">INJ041</w:t>
            </w:r>
          </w:p>
        </w:tc>
        <w:tc>
          <w:tcPr/>
          <w:p>
            <w:pPr>
              <w:pStyle w:val="Compact"/>
              <w:jc w:val="right"/>
            </w:pPr>
            <w:r>
              <w:t xml:space="preserve">Fracture of the upper limb, subsequent encounter</w:t>
            </w:r>
          </w:p>
        </w:tc>
        <w:tc>
          <w:tcPr/>
          <w:p>
            <w:pPr>
              <w:pStyle w:val="Compact"/>
              <w:jc w:val="right"/>
            </w:pPr>
            <w:r>
              <w:t xml:space="preserve">0.80%</w:t>
            </w:r>
          </w:p>
        </w:tc>
      </w:tr>
      <w:tr>
        <w:tc>
          <w:tcPr/>
          <w:p>
            <w:pPr>
              <w:pStyle w:val="Compact"/>
            </w:pPr>
            <w:r>
              <w:t xml:space="preserve">CIR012</w:t>
            </w:r>
          </w:p>
        </w:tc>
        <w:tc>
          <w:tcPr/>
          <w:p>
            <w:pPr>
              <w:pStyle w:val="Compact"/>
              <w:jc w:val="right"/>
            </w:pPr>
            <w:r>
              <w:t xml:space="preserve">Nonspecific chest pain</w:t>
            </w:r>
          </w:p>
        </w:tc>
        <w:tc>
          <w:tcPr/>
          <w:p>
            <w:pPr>
              <w:pStyle w:val="Compact"/>
              <w:jc w:val="right"/>
            </w:pPr>
            <w:r>
              <w:t xml:space="preserve">0.79%</w:t>
            </w:r>
          </w:p>
        </w:tc>
      </w:tr>
      <w:tr>
        <w:tc>
          <w:tcPr/>
          <w:p>
            <w:pPr>
              <w:pStyle w:val="Compact"/>
            </w:pPr>
            <w:r>
              <w:t xml:space="preserve">SYM011</w:t>
            </w:r>
          </w:p>
        </w:tc>
        <w:tc>
          <w:tcPr/>
          <w:p>
            <w:pPr>
              <w:pStyle w:val="Compact"/>
              <w:jc w:val="right"/>
            </w:pPr>
            <w:r>
              <w:t xml:space="preserve">Genitourinary signs and symptoms</w:t>
            </w:r>
          </w:p>
        </w:tc>
        <w:tc>
          <w:tcPr/>
          <w:p>
            <w:pPr>
              <w:pStyle w:val="Compact"/>
              <w:jc w:val="right"/>
            </w:pPr>
            <w:r>
              <w:t xml:space="preserve">0.77%</w:t>
            </w:r>
          </w:p>
        </w:tc>
      </w:tr>
      <w:tr>
        <w:tc>
          <w:tcPr/>
          <w:p>
            <w:pPr>
              <w:pStyle w:val="Compact"/>
            </w:pPr>
            <w:r>
              <w:t xml:space="preserve">SYM002</w:t>
            </w:r>
          </w:p>
        </w:tc>
        <w:tc>
          <w:tcPr/>
          <w:p>
            <w:pPr>
              <w:pStyle w:val="Compact"/>
              <w:jc w:val="right"/>
            </w:pPr>
            <w:r>
              <w:t xml:space="preserve">Fever</w:t>
            </w:r>
          </w:p>
        </w:tc>
        <w:tc>
          <w:tcPr/>
          <w:p>
            <w:pPr>
              <w:pStyle w:val="Compact"/>
              <w:jc w:val="right"/>
            </w:pPr>
            <w:r>
              <w:t xml:space="preserve">0.76%</w:t>
            </w:r>
          </w:p>
        </w:tc>
      </w:tr>
      <w:tr>
        <w:tc>
          <w:tcPr/>
          <w:p>
            <w:pPr>
              <w:pStyle w:val="Compact"/>
            </w:pPr>
            <w:r>
              <w:t xml:space="preserve">MBD013</w:t>
            </w:r>
          </w:p>
        </w:tc>
        <w:tc>
          <w:tcPr/>
          <w:p>
            <w:pPr>
              <w:pStyle w:val="Compact"/>
              <w:jc w:val="right"/>
            </w:pPr>
            <w:r>
              <w:t xml:space="preserve">Miscellaneous mental and behavioral disorders/conditions</w:t>
            </w:r>
          </w:p>
        </w:tc>
        <w:tc>
          <w:tcPr/>
          <w:p>
            <w:pPr>
              <w:pStyle w:val="Compact"/>
              <w:jc w:val="right"/>
            </w:pPr>
            <w:r>
              <w:t xml:space="preserve">0.76%</w:t>
            </w:r>
          </w:p>
        </w:tc>
      </w:tr>
      <w:tr>
        <w:tc>
          <w:tcPr/>
          <w:p>
            <w:pPr>
              <w:pStyle w:val="Compact"/>
            </w:pPr>
            <w:r>
              <w:t xml:space="preserve">CIR015</w:t>
            </w:r>
          </w:p>
        </w:tc>
        <w:tc>
          <w:tcPr/>
          <w:p>
            <w:pPr>
              <w:pStyle w:val="Compact"/>
              <w:jc w:val="right"/>
            </w:pPr>
            <w:r>
              <w:t xml:space="preserve">Other and ill-defined heart disease</w:t>
            </w:r>
          </w:p>
        </w:tc>
        <w:tc>
          <w:tcPr/>
          <w:p>
            <w:pPr>
              <w:pStyle w:val="Compact"/>
              <w:jc w:val="right"/>
            </w:pPr>
            <w:r>
              <w:t xml:space="preserve">0.76%</w:t>
            </w:r>
          </w:p>
        </w:tc>
      </w:tr>
      <w:tr>
        <w:tc>
          <w:tcPr/>
          <w:p>
            <w:pPr>
              <w:pStyle w:val="Compact"/>
            </w:pPr>
            <w:r>
              <w:t xml:space="preserve">DIG010</w:t>
            </w:r>
          </w:p>
        </w:tc>
        <w:tc>
          <w:tcPr/>
          <w:p>
            <w:pPr>
              <w:pStyle w:val="Compact"/>
              <w:jc w:val="right"/>
            </w:pPr>
            <w:r>
              <w:t xml:space="preserve">Abdominal hernia</w:t>
            </w:r>
          </w:p>
        </w:tc>
        <w:tc>
          <w:tcPr/>
          <w:p>
            <w:pPr>
              <w:pStyle w:val="Compact"/>
              <w:jc w:val="right"/>
            </w:pPr>
            <w:r>
              <w:t xml:space="preserve">0.76%</w:t>
            </w:r>
          </w:p>
        </w:tc>
      </w:tr>
      <w:tr>
        <w:tc>
          <w:tcPr/>
          <w:p>
            <w:pPr>
              <w:pStyle w:val="Compact"/>
            </w:pPr>
            <w:r>
              <w:t xml:space="preserve">FAC010</w:t>
            </w:r>
          </w:p>
        </w:tc>
        <w:tc>
          <w:tcPr/>
          <w:p>
            <w:pPr>
              <w:pStyle w:val="Compact"/>
              <w:jc w:val="right"/>
            </w:pPr>
            <w:r>
              <w:t xml:space="preserve">Other aftercare encounter</w:t>
            </w:r>
          </w:p>
        </w:tc>
        <w:tc>
          <w:tcPr/>
          <w:p>
            <w:pPr>
              <w:pStyle w:val="Compact"/>
              <w:jc w:val="right"/>
            </w:pPr>
            <w:r>
              <w:t xml:space="preserve">0.76%</w:t>
            </w:r>
          </w:p>
        </w:tc>
      </w:tr>
      <w:tr>
        <w:tc>
          <w:tcPr/>
          <w:p>
            <w:pPr>
              <w:pStyle w:val="Compact"/>
            </w:pPr>
            <w:r>
              <w:t xml:space="preserve">RSP016</w:t>
            </w:r>
          </w:p>
        </w:tc>
        <w:tc>
          <w:tcPr/>
          <w:p>
            <w:pPr>
              <w:pStyle w:val="Compact"/>
              <w:jc w:val="right"/>
            </w:pPr>
            <w:r>
              <w:t xml:space="preserve">Other specified and unspecified lower respiratory disease</w:t>
            </w:r>
          </w:p>
        </w:tc>
        <w:tc>
          <w:tcPr/>
          <w:p>
            <w:pPr>
              <w:pStyle w:val="Compact"/>
              <w:jc w:val="right"/>
            </w:pPr>
            <w:r>
              <w:t xml:space="preserve">0.75%</w:t>
            </w:r>
          </w:p>
        </w:tc>
      </w:tr>
      <w:tr>
        <w:tc>
          <w:tcPr/>
          <w:p>
            <w:pPr>
              <w:pStyle w:val="Compact"/>
            </w:pPr>
            <w:r>
              <w:t xml:space="preserve">GEN025</w:t>
            </w:r>
          </w:p>
        </w:tc>
        <w:tc>
          <w:tcPr/>
          <w:p>
            <w:pPr>
              <w:pStyle w:val="Compact"/>
              <w:jc w:val="right"/>
            </w:pPr>
            <w:r>
              <w:t xml:space="preserve">Other specified female genital disorders</w:t>
            </w:r>
          </w:p>
        </w:tc>
        <w:tc>
          <w:tcPr/>
          <w:p>
            <w:pPr>
              <w:pStyle w:val="Compact"/>
              <w:jc w:val="right"/>
            </w:pPr>
            <w:r>
              <w:t xml:space="preserve">0.73%</w:t>
            </w:r>
          </w:p>
        </w:tc>
      </w:tr>
      <w:tr>
        <w:tc>
          <w:tcPr/>
          <w:p>
            <w:pPr>
              <w:pStyle w:val="Compact"/>
            </w:pPr>
            <w:r>
              <w:t xml:space="preserve">GEN016</w:t>
            </w:r>
          </w:p>
        </w:tc>
        <w:tc>
          <w:tcPr/>
          <w:p>
            <w:pPr>
              <w:pStyle w:val="Compact"/>
              <w:jc w:val="right"/>
            </w:pPr>
            <w:r>
              <w:t xml:space="preserve">Other specified male genital disorders</w:t>
            </w:r>
          </w:p>
        </w:tc>
        <w:tc>
          <w:tcPr/>
          <w:p>
            <w:pPr>
              <w:pStyle w:val="Compact"/>
              <w:jc w:val="right"/>
            </w:pPr>
            <w:r>
              <w:t xml:space="preserve">0.72%</w:t>
            </w:r>
          </w:p>
        </w:tc>
      </w:tr>
      <w:tr>
        <w:tc>
          <w:tcPr/>
          <w:p>
            <w:pPr>
              <w:pStyle w:val="Compact"/>
            </w:pPr>
            <w:r>
              <w:t xml:space="preserve">NVS006</w:t>
            </w:r>
          </w:p>
        </w:tc>
        <w:tc>
          <w:tcPr/>
          <w:p>
            <w:pPr>
              <w:pStyle w:val="Compact"/>
              <w:jc w:val="right"/>
            </w:pPr>
            <w:r>
              <w:t xml:space="preserve">Other nervous system disorders (often hereditary or degenerative)</w:t>
            </w:r>
          </w:p>
        </w:tc>
        <w:tc>
          <w:tcPr/>
          <w:p>
            <w:pPr>
              <w:pStyle w:val="Compact"/>
              <w:jc w:val="right"/>
            </w:pPr>
            <w:r>
              <w:t xml:space="preserve">0.72%</w:t>
            </w:r>
          </w:p>
        </w:tc>
      </w:tr>
      <w:tr>
        <w:tc>
          <w:tcPr/>
          <w:p>
            <w:pPr>
              <w:pStyle w:val="Compact"/>
            </w:pPr>
            <w:r>
              <w:t xml:space="preserve">GEN017</w:t>
            </w:r>
          </w:p>
        </w:tc>
        <w:tc>
          <w:tcPr/>
          <w:p>
            <w:pPr>
              <w:pStyle w:val="Compact"/>
              <w:jc w:val="right"/>
            </w:pPr>
            <w:r>
              <w:t xml:space="preserve">Nonmalignant breast conditions</w:t>
            </w:r>
          </w:p>
        </w:tc>
        <w:tc>
          <w:tcPr/>
          <w:p>
            <w:pPr>
              <w:pStyle w:val="Compact"/>
              <w:jc w:val="right"/>
            </w:pPr>
            <w:r>
              <w:t xml:space="preserve">0.68%</w:t>
            </w:r>
          </w:p>
        </w:tc>
      </w:tr>
      <w:tr>
        <w:tc>
          <w:tcPr/>
          <w:p>
            <w:pPr>
              <w:pStyle w:val="Compact"/>
            </w:pPr>
            <w:r>
              <w:t xml:space="preserve">MUS013</w:t>
            </w:r>
          </w:p>
        </w:tc>
        <w:tc>
          <w:tcPr/>
          <w:p>
            <w:pPr>
              <w:pStyle w:val="Compact"/>
              <w:jc w:val="right"/>
            </w:pPr>
            <w:r>
              <w:t xml:space="preserve">Osteoporosis</w:t>
            </w:r>
          </w:p>
        </w:tc>
        <w:tc>
          <w:tcPr/>
          <w:p>
            <w:pPr>
              <w:pStyle w:val="Compact"/>
              <w:jc w:val="right"/>
            </w:pPr>
            <w:r>
              <w:t xml:space="preserve">0.67%</w:t>
            </w:r>
          </w:p>
        </w:tc>
      </w:tr>
      <w:tr>
        <w:tc>
          <w:tcPr/>
          <w:p>
            <w:pPr>
              <w:pStyle w:val="Compact"/>
            </w:pPr>
            <w:r>
              <w:t xml:space="preserve">GEN008</w:t>
            </w:r>
          </w:p>
        </w:tc>
        <w:tc>
          <w:tcPr/>
          <w:p>
            <w:pPr>
              <w:pStyle w:val="Compact"/>
              <w:jc w:val="right"/>
            </w:pPr>
            <w:r>
              <w:t xml:space="preserve">Urinary incontinence</w:t>
            </w:r>
          </w:p>
        </w:tc>
        <w:tc>
          <w:tcPr/>
          <w:p>
            <w:pPr>
              <w:pStyle w:val="Compact"/>
              <w:jc w:val="right"/>
            </w:pPr>
            <w:r>
              <w:t xml:space="preserve">0.66%</w:t>
            </w:r>
          </w:p>
        </w:tc>
      </w:tr>
      <w:tr>
        <w:tc>
          <w:tcPr/>
          <w:p>
            <w:pPr>
              <w:pStyle w:val="Compact"/>
            </w:pPr>
            <w:r>
              <w:t xml:space="preserve">INJ027</w:t>
            </w:r>
          </w:p>
        </w:tc>
        <w:tc>
          <w:tcPr/>
          <w:p>
            <w:pPr>
              <w:pStyle w:val="Compact"/>
              <w:jc w:val="right"/>
            </w:pPr>
            <w:r>
              <w:t xml:space="preserve">Other unspecified injury</w:t>
            </w:r>
          </w:p>
        </w:tc>
        <w:tc>
          <w:tcPr/>
          <w:p>
            <w:pPr>
              <w:pStyle w:val="Compact"/>
              <w:jc w:val="right"/>
            </w:pPr>
            <w:r>
              <w:t xml:space="preserve">0.66%</w:t>
            </w:r>
          </w:p>
        </w:tc>
      </w:tr>
      <w:tr>
        <w:tc>
          <w:tcPr/>
          <w:p>
            <w:pPr>
              <w:pStyle w:val="Compact"/>
            </w:pPr>
            <w:r>
              <w:t xml:space="preserve">BLD003</w:t>
            </w:r>
          </w:p>
        </w:tc>
        <w:tc>
          <w:tcPr/>
          <w:p>
            <w:pPr>
              <w:pStyle w:val="Compact"/>
              <w:jc w:val="right"/>
            </w:pPr>
            <w:r>
              <w:t xml:space="preserve">Aplastic anemia</w:t>
            </w:r>
          </w:p>
        </w:tc>
        <w:tc>
          <w:tcPr/>
          <w:p>
            <w:pPr>
              <w:pStyle w:val="Compact"/>
              <w:jc w:val="right"/>
            </w:pPr>
            <w:r>
              <w:t xml:space="preserve">0.65%</w:t>
            </w:r>
          </w:p>
        </w:tc>
      </w:tr>
      <w:tr>
        <w:tc>
          <w:tcPr/>
          <w:p>
            <w:pPr>
              <w:pStyle w:val="Compact"/>
            </w:pPr>
            <w:r>
              <w:t xml:space="preserve">DIG001</w:t>
            </w:r>
          </w:p>
        </w:tc>
        <w:tc>
          <w:tcPr/>
          <w:p>
            <w:pPr>
              <w:pStyle w:val="Compact"/>
              <w:jc w:val="right"/>
            </w:pPr>
            <w:r>
              <w:t xml:space="preserve">Intestinal infection</w:t>
            </w:r>
          </w:p>
        </w:tc>
        <w:tc>
          <w:tcPr/>
          <w:p>
            <w:pPr>
              <w:pStyle w:val="Compact"/>
              <w:jc w:val="right"/>
            </w:pPr>
            <w:r>
              <w:t xml:space="preserve">0.64%</w:t>
            </w:r>
          </w:p>
        </w:tc>
      </w:tr>
      <w:tr>
        <w:tc>
          <w:tcPr/>
          <w:p>
            <w:pPr>
              <w:pStyle w:val="Compact"/>
            </w:pPr>
            <w:r>
              <w:t xml:space="preserve">NEO039</w:t>
            </w:r>
          </w:p>
        </w:tc>
        <w:tc>
          <w:tcPr/>
          <w:p>
            <w:pPr>
              <w:pStyle w:val="Compact"/>
              <w:jc w:val="right"/>
            </w:pPr>
            <w:r>
              <w:t xml:space="preserve">Male reproductive system cancers - prostate</w:t>
            </w:r>
          </w:p>
        </w:tc>
        <w:tc>
          <w:tcPr/>
          <w:p>
            <w:pPr>
              <w:pStyle w:val="Compact"/>
              <w:jc w:val="right"/>
            </w:pPr>
            <w:r>
              <w:t xml:space="preserve">0.63%</w:t>
            </w:r>
          </w:p>
        </w:tc>
      </w:tr>
      <w:tr>
        <w:tc>
          <w:tcPr/>
          <w:p>
            <w:pPr>
              <w:pStyle w:val="Compact"/>
            </w:pPr>
            <w:r>
              <w:t xml:space="preserve">GEN007</w:t>
            </w:r>
          </w:p>
        </w:tc>
        <w:tc>
          <w:tcPr/>
          <w:p>
            <w:pPr>
              <w:pStyle w:val="Compact"/>
              <w:jc w:val="right"/>
            </w:pPr>
            <w:r>
              <w:t xml:space="preserve">Other specified and unspecified diseases of bladder and urethra</w:t>
            </w:r>
          </w:p>
        </w:tc>
        <w:tc>
          <w:tcPr/>
          <w:p>
            <w:pPr>
              <w:pStyle w:val="Compact"/>
              <w:jc w:val="right"/>
            </w:pPr>
            <w:r>
              <w:t xml:space="preserve">0.62%</w:t>
            </w:r>
          </w:p>
        </w:tc>
      </w:tr>
      <w:tr>
        <w:tc>
          <w:tcPr/>
          <w:p>
            <w:pPr>
              <w:pStyle w:val="Compact"/>
            </w:pPr>
            <w:r>
              <w:t xml:space="preserve">INF009</w:t>
            </w:r>
          </w:p>
        </w:tc>
        <w:tc>
          <w:tcPr/>
          <w:p>
            <w:pPr>
              <w:pStyle w:val="Compact"/>
              <w:jc w:val="right"/>
            </w:pPr>
            <w:r>
              <w:t xml:space="preserve">Parasitic, other specified and unspecified infections</w:t>
            </w:r>
          </w:p>
        </w:tc>
        <w:tc>
          <w:tcPr/>
          <w:p>
            <w:pPr>
              <w:pStyle w:val="Compact"/>
              <w:jc w:val="right"/>
            </w:pPr>
            <w:r>
              <w:t xml:space="preserve">0.59%</w:t>
            </w:r>
          </w:p>
        </w:tc>
      </w:tr>
      <w:tr>
        <w:tc>
          <w:tcPr/>
          <w:p>
            <w:pPr>
              <w:pStyle w:val="Compact"/>
            </w:pPr>
            <w:r>
              <w:t xml:space="preserve">NEO025</w:t>
            </w:r>
          </w:p>
        </w:tc>
        <w:tc>
          <w:tcPr/>
          <w:p>
            <w:pPr>
              <w:pStyle w:val="Compact"/>
              <w:jc w:val="right"/>
            </w:pPr>
            <w:r>
              <w:t xml:space="preserve">Skin cancers - melanoma</w:t>
            </w:r>
          </w:p>
        </w:tc>
        <w:tc>
          <w:tcPr/>
          <w:p>
            <w:pPr>
              <w:pStyle w:val="Compact"/>
              <w:jc w:val="right"/>
            </w:pPr>
            <w:r>
              <w:t xml:space="preserve">0.58%</w:t>
            </w:r>
          </w:p>
        </w:tc>
      </w:tr>
      <w:tr>
        <w:tc>
          <w:tcPr/>
          <w:p>
            <w:pPr>
              <w:pStyle w:val="Compact"/>
            </w:pPr>
            <w:r>
              <w:t xml:space="preserve">DEN001</w:t>
            </w:r>
          </w:p>
        </w:tc>
        <w:tc>
          <w:tcPr/>
          <w:p>
            <w:pPr>
              <w:pStyle w:val="Compact"/>
              <w:jc w:val="right"/>
            </w:pPr>
            <w:r>
              <w:t xml:space="preserve">Any dental condition including traumatic injury</w:t>
            </w:r>
          </w:p>
        </w:tc>
        <w:tc>
          <w:tcPr/>
          <w:p>
            <w:pPr>
              <w:pStyle w:val="Compact"/>
              <w:jc w:val="right"/>
            </w:pPr>
            <w:r>
              <w:t xml:space="preserve">0.57%</w:t>
            </w:r>
          </w:p>
        </w:tc>
      </w:tr>
      <w:tr>
        <w:tc>
          <w:tcPr/>
          <w:p>
            <w:pPr>
              <w:pStyle w:val="Compact"/>
            </w:pPr>
            <w:r>
              <w:t xml:space="preserve">INJ049</w:t>
            </w:r>
          </w:p>
        </w:tc>
        <w:tc>
          <w:tcPr/>
          <w:p>
            <w:pPr>
              <w:pStyle w:val="Compact"/>
              <w:jc w:val="right"/>
            </w:pPr>
            <w:r>
              <w:t xml:space="preserve">Open wounds to limbs, subsequent encounter</w:t>
            </w:r>
          </w:p>
        </w:tc>
        <w:tc>
          <w:tcPr/>
          <w:p>
            <w:pPr>
              <w:pStyle w:val="Compact"/>
              <w:jc w:val="right"/>
            </w:pPr>
            <w:r>
              <w:t xml:space="preserve">0.56%</w:t>
            </w:r>
          </w:p>
        </w:tc>
      </w:tr>
      <w:tr>
        <w:tc>
          <w:tcPr/>
          <w:p>
            <w:pPr>
              <w:pStyle w:val="Compact"/>
            </w:pPr>
            <w:r>
              <w:t xml:space="preserve">DEN002</w:t>
            </w:r>
          </w:p>
        </w:tc>
        <w:tc>
          <w:tcPr/>
          <w:p>
            <w:pPr>
              <w:pStyle w:val="Compact"/>
              <w:jc w:val="right"/>
            </w:pPr>
            <w:r>
              <w:t xml:space="preserve">Nontraumatic dental conditions</w:t>
            </w:r>
          </w:p>
        </w:tc>
        <w:tc>
          <w:tcPr/>
          <w:p>
            <w:pPr>
              <w:pStyle w:val="Compact"/>
              <w:jc w:val="right"/>
            </w:pPr>
            <w:r>
              <w:t xml:space="preserve">0.53%</w:t>
            </w:r>
          </w:p>
        </w:tc>
      </w:tr>
      <w:tr>
        <w:tc>
          <w:tcPr/>
          <w:p>
            <w:pPr>
              <w:pStyle w:val="Compact"/>
            </w:pPr>
            <w:r>
              <w:t xml:space="preserve">SKN005</w:t>
            </w:r>
          </w:p>
        </w:tc>
        <w:tc>
          <w:tcPr/>
          <w:p>
            <w:pPr>
              <w:pStyle w:val="Compact"/>
              <w:jc w:val="right"/>
            </w:pPr>
            <w:r>
              <w:t xml:space="preserve">Contact dermatitis</w:t>
            </w:r>
          </w:p>
        </w:tc>
        <w:tc>
          <w:tcPr/>
          <w:p>
            <w:pPr>
              <w:pStyle w:val="Compact"/>
              <w:jc w:val="right"/>
            </w:pPr>
            <w:r>
              <w:t xml:space="preserve">0.53%</w:t>
            </w:r>
          </w:p>
        </w:tc>
      </w:tr>
      <w:tr>
        <w:tc>
          <w:tcPr/>
          <w:p>
            <w:pPr>
              <w:pStyle w:val="Compact"/>
            </w:pPr>
            <w:r>
              <w:t xml:space="preserve">DIG019</w:t>
            </w:r>
          </w:p>
        </w:tc>
        <w:tc>
          <w:tcPr/>
          <w:p>
            <w:pPr>
              <w:pStyle w:val="Compact"/>
              <w:jc w:val="right"/>
            </w:pPr>
            <w:r>
              <w:t xml:space="preserve">Other specified and unspecified liver disease</w:t>
            </w:r>
          </w:p>
        </w:tc>
        <w:tc>
          <w:tcPr/>
          <w:p>
            <w:pPr>
              <w:pStyle w:val="Compact"/>
              <w:jc w:val="right"/>
            </w:pPr>
            <w:r>
              <w:t xml:space="preserve">0.51%</w:t>
            </w:r>
          </w:p>
        </w:tc>
      </w:tr>
    </w:tbl>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2026-09-14T21:08:29Z</dcterms:created>
  <dcterms:modified xsi:type="dcterms:W3CDTF">2026-09-14T21:08:29Z</dcterms:modified>
</cp:coreProperties>
</file>

<file path=docProps/custom.xml><?xml version="1.0" encoding="utf-8"?>
<Properties xmlns="http://schemas.openxmlformats.org/officeDocument/2006/custom-properties" xmlns:vt="http://schemas.openxmlformats.org/officeDocument/2006/docPropsVTypes"/>
</file>