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²,</w:t>
      </w:r>
      <w:r>
        <w:t xml:space="preserve"> </w:t>
      </w:r>
      <w:r>
        <w:rPr>
          <w:b/>
          <w:bCs/>
        </w:rPr>
        <w:t xml:space="preserve">Oluwakemi Oyinlade</w:t>
      </w:r>
      <w:r>
        <w:t xml:space="preserve">¹</w:t>
      </w:r>
    </w:p>
    <w:p>
      <w:pPr>
        <w:pStyle w:val="BodyText"/>
      </w:pPr>
      <w:r>
        <w:t xml:space="preserve">¹ Department of Actuarial Science, University of Lagos, Lagos, Nigeria. obabalola4@student.gsu.edu</w:t>
      </w:r>
    </w:p>
    <w:p>
      <w:pPr>
        <w:pStyle w:val="BodyText"/>
      </w:pPr>
      <w:r>
        <w:t xml:space="preserve">² Department of Chemistry, University of Jos, Jos, Nigeria.</w:t>
      </w:r>
    </w:p>
    <w:p>
      <w:pPr>
        <w:pStyle w:val="BodyText"/>
      </w:pPr>
      <w:r>
        <w:rPr>
          <w:b/>
          <w:bCs/>
        </w:rPr>
        <w:t xml:space="preserve">Word count.</w:t>
      </w:r>
      <w:r>
        <w:t xml:space="preserve"> </w:t>
      </w:r>
      <w:r>
        <w:t xml:space="preserve">5,457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Four years on, the Authority reports about 22 million enrollees, under 10% of the population, and informal employment stands at 93.0% of all employment (National Bureau of Statistics 2024).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Aniebo et al. 2025),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published incidence at the 10% threshold ranges from 16.4% for 2009/10 (Aregbeshola and Khan 2018) to 45.5% for 2023/24 (Aniebo et al. 2025), with Edeh (2022) reporting a rise across three earlier survey rounds. The last of these uses the same survey wave as this paper, and Section 6 reconciles the two.</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 and the Aniebo et al. estimate.</w:t>
      </w:r>
      <w:r>
        <w:t xml:space="preserve"> </w:t>
      </w:r>
      <w:r>
        <w:t xml:space="preserve">Our 14.1% at the 10% threshold sits with Aregbeshola and Khan’s 16.4% for 2009/10 and our own 14.1% for wave 4, and far from the 45.5% that Aniebo et al. (2025) report on the same 2023/24 survey, with a capacity-to-pay incidence of 43.1% and a pro-poor budget-share index of −0.152. Because both studies use the same households, the difference is a measurement difference, not a change in the population. Their abstract does not give enough detail on annualization or the consumption denominator for us to reproduce the 45.5%, so we cannot say which choice produces it. We can say how far the plausible choices move the estimate: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Aniebo et al. find both measures pro-poor, so the budget-share gradient is itself sensitive to measurement choices, and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review and editing).</w:t>
      </w:r>
      <w:r>
        <w:t xml:space="preserve"> </w:t>
      </w:r>
      <w:r>
        <w:rPr>
          <w:b/>
          <w:bCs/>
        </w:rPr>
        <w:t xml:space="preserve">Oluwakemi Elizabeth Iroko</w:t>
      </w:r>
      <w:r>
        <w:t xml:space="preserve">: roles to be confirmed by the authors.</w:t>
      </w:r>
      <w:r>
        <w:t xml:space="preserve"> </w:t>
      </w:r>
      <w:r>
        <w:rPr>
          <w:b/>
          <w:bCs/>
        </w:rPr>
        <w:t xml:space="preserve">Oluwakemi Oyinlade</w:t>
      </w:r>
      <w:r>
        <w:t xml:space="preserve">: roles to be confirmed by the authors.</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National Bureau of Statistics (2024).</w:t>
      </w:r>
      <w:r>
        <w:t xml:space="preserve"> </w:t>
      </w:r>
      <w:r>
        <w:rPr>
          <w:i/>
          <w:iCs/>
        </w:rPr>
        <w:t xml:space="preserve">Nigeria Labour Force Survey, Q2 2024</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 Accessed September 2026.</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p>
      <w:pPr>
        <w:pStyle w:val="BodyText"/>
      </w:pPr>
      <w:r>
        <w:rPr>
          <w:i/>
          <w:iCs/>
        </w:rPr>
        <w:t xml:space="preserve">The 25% and 40% budget-share thresholds are in output/tables/table2_che.csv.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Term</w:t>
            </w:r>
          </w:p>
        </w:tc>
        <w:tc>
          <w:tcPr/>
          <w:p>
            <w:pPr>
              <w:pStyle w:val="Compact"/>
              <w:jc w:val="right"/>
            </w:pPr>
            <w:r>
              <w:t xml:space="preserve">Outpatient rate</w:t>
            </w:r>
          </w:p>
        </w:tc>
        <w:tc>
          <w:tcPr/>
          <w:p>
            <w:pPr>
              <w:pStyle w:val="Compact"/>
              <w:jc w:val="right"/>
            </w:pPr>
            <w:r>
              <w:t xml:space="preserve">Inpatient rate</w:t>
            </w:r>
          </w:p>
        </w:tc>
        <w:tc>
          <w:tcPr/>
          <w:p>
            <w:pPr>
              <w:pStyle w:val="Compact"/>
              <w:jc w:val="right"/>
            </w:pPr>
            <w:r>
              <w:t xml:space="preserve">Outpatient cost</w:t>
            </w:r>
          </w:p>
        </w:tc>
        <w:tc>
          <w:tcPr/>
          <w:p>
            <w:pPr>
              <w:pStyle w:val="Compact"/>
              <w:jc w:val="right"/>
            </w:pPr>
            <w:r>
              <w:t xml:space="preserve">Inpatient cost</w:t>
            </w:r>
          </w:p>
        </w:tc>
        <w:tc>
          <w:tcPr/>
          <w:p>
            <w:pPr>
              <w:pStyle w:val="Compact"/>
              <w:jc w:val="right"/>
            </w:pPr>
            <w:r>
              <w:t xml:space="preserve">Annual cost (Tweedie)</w:t>
            </w:r>
          </w:p>
        </w:tc>
      </w:tr>
      <w:tr>
        <w:tc>
          <w:tcPr/>
          <w:p>
            <w:pPr>
              <w:pStyle w:val="Compact"/>
            </w:pPr>
            <w:r>
              <w:t xml:space="preserve">Intercept</w:t>
            </w:r>
          </w:p>
        </w:tc>
        <w:tc>
          <w:tcPr/>
          <w:p>
            <w:pPr>
              <w:pStyle w:val="Compact"/>
              <w:jc w:val="right"/>
            </w:pPr>
            <w:r>
              <w:t xml:space="preserve">1.943*</w:t>
            </w:r>
          </w:p>
        </w:tc>
        <w:tc>
          <w:tcPr/>
          <w:p>
            <w:pPr>
              <w:pStyle w:val="Compact"/>
              <w:jc w:val="right"/>
            </w:pPr>
            <w:r>
              <w:t xml:space="preserve">0.018*</w:t>
            </w:r>
          </w:p>
        </w:tc>
        <w:tc>
          <w:tcPr/>
          <w:p>
            <w:pPr>
              <w:pStyle w:val="Compact"/>
              <w:jc w:val="right"/>
            </w:pPr>
            <w:r>
              <w:t xml:space="preserve">4376.717*</w:t>
            </w:r>
          </w:p>
        </w:tc>
        <w:tc>
          <w:tcPr/>
          <w:p>
            <w:pPr>
              <w:pStyle w:val="Compact"/>
              <w:jc w:val="right"/>
            </w:pPr>
            <w:r>
              <w:t xml:space="preserve">12242.037*</w:t>
            </w:r>
          </w:p>
        </w:tc>
        <w:tc>
          <w:tcPr/>
          <w:p>
            <w:pPr>
              <w:pStyle w:val="Compact"/>
              <w:jc w:val="right"/>
            </w:pPr>
            <w:r>
              <w:t xml:space="preserve">8116.020*</w:t>
            </w:r>
          </w:p>
        </w:tc>
      </w:tr>
      <w:tr>
        <w:tc>
          <w:tcPr/>
          <w:p>
            <w:pPr>
              <w:pStyle w:val="Compact"/>
            </w:pPr>
            <w:r>
              <w:t xml:space="preserve">age_band 0-4</w:t>
            </w:r>
          </w:p>
        </w:tc>
        <w:tc>
          <w:tcPr/>
          <w:p>
            <w:pPr>
              <w:pStyle w:val="Compact"/>
              <w:jc w:val="right"/>
            </w:pPr>
            <w:r>
              <w:t xml:space="preserve">1.204*</w:t>
            </w:r>
          </w:p>
        </w:tc>
        <w:tc>
          <w:tcPr/>
          <w:p>
            <w:pPr>
              <w:pStyle w:val="Compact"/>
              <w:jc w:val="right"/>
            </w:pPr>
            <w:r>
              <w:t xml:space="preserve">0.575</w:t>
            </w:r>
          </w:p>
        </w:tc>
        <w:tc>
          <w:tcPr/>
          <w:p>
            <w:pPr>
              <w:pStyle w:val="Compact"/>
              <w:jc w:val="right"/>
            </w:pPr>
            <w:r>
              <w:t xml:space="preserve">0.465*</w:t>
            </w:r>
          </w:p>
        </w:tc>
        <w:tc>
          <w:tcPr/>
          <w:p>
            <w:pPr>
              <w:pStyle w:val="Compact"/>
              <w:jc w:val="right"/>
            </w:pPr>
            <w:r>
              <w:t xml:space="preserve">0.283*</w:t>
            </w:r>
          </w:p>
        </w:tc>
        <w:tc>
          <w:tcPr/>
          <w:p>
            <w:pPr>
              <w:pStyle w:val="Compact"/>
              <w:jc w:val="right"/>
            </w:pPr>
            <w:r>
              <w:t xml:space="preserve">0.564*</w:t>
            </w:r>
          </w:p>
        </w:tc>
      </w:tr>
      <w:tr>
        <w:tc>
          <w:tcPr/>
          <w:p>
            <w:pPr>
              <w:pStyle w:val="Compact"/>
            </w:pPr>
            <w:r>
              <w:t xml:space="preserve">age_band 15-24</w:t>
            </w:r>
          </w:p>
        </w:tc>
        <w:tc>
          <w:tcPr/>
          <w:p>
            <w:pPr>
              <w:pStyle w:val="Compact"/>
              <w:jc w:val="right"/>
            </w:pPr>
            <w:r>
              <w:t xml:space="preserve">0.663*</w:t>
            </w:r>
          </w:p>
        </w:tc>
        <w:tc>
          <w:tcPr/>
          <w:p>
            <w:pPr>
              <w:pStyle w:val="Compact"/>
              <w:jc w:val="right"/>
            </w:pPr>
            <w:r>
              <w:t xml:space="preserve">0.630*</w:t>
            </w:r>
          </w:p>
        </w:tc>
        <w:tc>
          <w:tcPr/>
          <w:p>
            <w:pPr>
              <w:pStyle w:val="Compact"/>
              <w:jc w:val="right"/>
            </w:pPr>
            <w:r>
              <w:t xml:space="preserve">0.590*</w:t>
            </w:r>
          </w:p>
        </w:tc>
        <w:tc>
          <w:tcPr/>
          <w:p>
            <w:pPr>
              <w:pStyle w:val="Compact"/>
              <w:jc w:val="right"/>
            </w:pPr>
            <w:r>
              <w:t xml:space="preserve">0.407*</w:t>
            </w:r>
          </w:p>
        </w:tc>
        <w:tc>
          <w:tcPr/>
          <w:p>
            <w:pPr>
              <w:pStyle w:val="Compact"/>
              <w:jc w:val="right"/>
            </w:pPr>
            <w:r>
              <w:t xml:space="preserve">0.382*</w:t>
            </w:r>
          </w:p>
        </w:tc>
      </w:tr>
      <w:tr>
        <w:tc>
          <w:tcPr/>
          <w:p>
            <w:pPr>
              <w:pStyle w:val="Compact"/>
            </w:pPr>
            <w:r>
              <w:t xml:space="preserve">age_band 45-59</w:t>
            </w:r>
          </w:p>
        </w:tc>
        <w:tc>
          <w:tcPr/>
          <w:p>
            <w:pPr>
              <w:pStyle w:val="Compact"/>
              <w:jc w:val="right"/>
            </w:pPr>
            <w:r>
              <w:t xml:space="preserve">1.175*</w:t>
            </w:r>
          </w:p>
        </w:tc>
        <w:tc>
          <w:tcPr/>
          <w:p>
            <w:pPr>
              <w:pStyle w:val="Compact"/>
              <w:jc w:val="right"/>
            </w:pPr>
            <w:r>
              <w:t xml:space="preserve">1.138</w:t>
            </w:r>
          </w:p>
        </w:tc>
        <w:tc>
          <w:tcPr/>
          <w:p>
            <w:pPr>
              <w:pStyle w:val="Compact"/>
              <w:jc w:val="right"/>
            </w:pPr>
            <w:r>
              <w:t xml:space="preserve">0.910</w:t>
            </w:r>
          </w:p>
        </w:tc>
        <w:tc>
          <w:tcPr/>
          <w:p>
            <w:pPr>
              <w:pStyle w:val="Compact"/>
              <w:jc w:val="right"/>
            </w:pPr>
            <w:r>
              <w:t xml:space="preserve">1.510</w:t>
            </w:r>
          </w:p>
        </w:tc>
        <w:tc>
          <w:tcPr/>
          <w:p>
            <w:pPr>
              <w:pStyle w:val="Compact"/>
              <w:jc w:val="right"/>
            </w:pPr>
            <w:r>
              <w:t xml:space="preserve">1.096</w:t>
            </w:r>
          </w:p>
        </w:tc>
      </w:tr>
      <w:tr>
        <w:tc>
          <w:tcPr/>
          <w:p>
            <w:pPr>
              <w:pStyle w:val="Compact"/>
            </w:pPr>
            <w:r>
              <w:t xml:space="preserve">age_band 5-14</w:t>
            </w:r>
          </w:p>
        </w:tc>
        <w:tc>
          <w:tcPr/>
          <w:p>
            <w:pPr>
              <w:pStyle w:val="Compact"/>
              <w:jc w:val="right"/>
            </w:pPr>
            <w:r>
              <w:t xml:space="preserve">0.841*</w:t>
            </w:r>
          </w:p>
        </w:tc>
        <w:tc>
          <w:tcPr/>
          <w:p>
            <w:pPr>
              <w:pStyle w:val="Compact"/>
              <w:jc w:val="right"/>
            </w:pPr>
            <w:r>
              <w:t xml:space="preserve">0.572*</w:t>
            </w:r>
          </w:p>
        </w:tc>
        <w:tc>
          <w:tcPr/>
          <w:p>
            <w:pPr>
              <w:pStyle w:val="Compact"/>
              <w:jc w:val="right"/>
            </w:pPr>
            <w:r>
              <w:t xml:space="preserve">0.499*</w:t>
            </w:r>
          </w:p>
        </w:tc>
        <w:tc>
          <w:tcPr/>
          <w:p>
            <w:pPr>
              <w:pStyle w:val="Compact"/>
              <w:jc w:val="right"/>
            </w:pPr>
            <w:r>
              <w:t xml:space="preserve">0.734</w:t>
            </w:r>
          </w:p>
        </w:tc>
        <w:tc>
          <w:tcPr/>
          <w:p>
            <w:pPr>
              <w:pStyle w:val="Compact"/>
              <w:jc w:val="right"/>
            </w:pPr>
            <w:r>
              <w:t xml:space="preserve">0.434*</w:t>
            </w:r>
          </w:p>
        </w:tc>
      </w:tr>
      <w:tr>
        <w:tc>
          <w:tcPr/>
          <w:p>
            <w:pPr>
              <w:pStyle w:val="Compact"/>
            </w:pPr>
            <w:r>
              <w:t xml:space="preserve">age_band 60+</w:t>
            </w:r>
          </w:p>
        </w:tc>
        <w:tc>
          <w:tcPr/>
          <w:p>
            <w:pPr>
              <w:pStyle w:val="Compact"/>
              <w:jc w:val="right"/>
            </w:pPr>
            <w:r>
              <w:t xml:space="preserve">1.654*</w:t>
            </w:r>
          </w:p>
        </w:tc>
        <w:tc>
          <w:tcPr/>
          <w:p>
            <w:pPr>
              <w:pStyle w:val="Compact"/>
              <w:jc w:val="right"/>
            </w:pPr>
            <w:r>
              <w:t xml:space="preserve">1.526*</w:t>
            </w:r>
          </w:p>
        </w:tc>
        <w:tc>
          <w:tcPr/>
          <w:p>
            <w:pPr>
              <w:pStyle w:val="Compact"/>
              <w:jc w:val="right"/>
            </w:pPr>
            <w:r>
              <w:t xml:space="preserve">1.060</w:t>
            </w:r>
          </w:p>
        </w:tc>
        <w:tc>
          <w:tcPr/>
          <w:p>
            <w:pPr>
              <w:pStyle w:val="Compact"/>
              <w:jc w:val="right"/>
            </w:pPr>
            <w:r>
              <w:t xml:space="preserve">1.282</w:t>
            </w:r>
          </w:p>
        </w:tc>
        <w:tc>
          <w:tcPr/>
          <w:p>
            <w:pPr>
              <w:pStyle w:val="Compact"/>
              <w:jc w:val="right"/>
            </w:pPr>
            <w:r>
              <w:t xml:space="preserve">1.756*</w:t>
            </w:r>
          </w:p>
        </w:tc>
      </w:tr>
      <w:tr>
        <w:tc>
          <w:tcPr/>
          <w:p>
            <w:pPr>
              <w:pStyle w:val="Compact"/>
            </w:pPr>
            <w:r>
              <w:t xml:space="preserve">zone North East</w:t>
            </w:r>
          </w:p>
        </w:tc>
        <w:tc>
          <w:tcPr/>
          <w:p>
            <w:pPr>
              <w:pStyle w:val="Compact"/>
              <w:jc w:val="right"/>
            </w:pPr>
            <w:r>
              <w:t xml:space="preserve">1.102</w:t>
            </w:r>
          </w:p>
        </w:tc>
        <w:tc>
          <w:tcPr/>
          <w:p>
            <w:pPr>
              <w:pStyle w:val="Compact"/>
              <w:jc w:val="right"/>
            </w:pPr>
            <w:r>
              <w:t xml:space="preserve">0.484*</w:t>
            </w:r>
          </w:p>
        </w:tc>
        <w:tc>
          <w:tcPr/>
          <w:p>
            <w:pPr>
              <w:pStyle w:val="Compact"/>
              <w:jc w:val="right"/>
            </w:pPr>
            <w:r>
              <w:t xml:space="preserve">0.796*</w:t>
            </w:r>
          </w:p>
        </w:tc>
        <w:tc>
          <w:tcPr/>
          <w:p>
            <w:pPr>
              <w:pStyle w:val="Compact"/>
            </w:pPr>
          </w:p>
        </w:tc>
        <w:tc>
          <w:tcPr/>
          <w:p>
            <w:pPr>
              <w:pStyle w:val="Compact"/>
              <w:jc w:val="right"/>
            </w:pPr>
            <w:r>
              <w:t xml:space="preserve">0.816</w:t>
            </w:r>
          </w:p>
        </w:tc>
      </w:tr>
      <w:tr>
        <w:tc>
          <w:tcPr/>
          <w:p>
            <w:pPr>
              <w:pStyle w:val="Compact"/>
            </w:pPr>
            <w:r>
              <w:t xml:space="preserve">zone North West</w:t>
            </w:r>
          </w:p>
        </w:tc>
        <w:tc>
          <w:tcPr/>
          <w:p>
            <w:pPr>
              <w:pStyle w:val="Compact"/>
              <w:jc w:val="right"/>
            </w:pPr>
            <w:r>
              <w:t xml:space="preserve">0.919</w:t>
            </w:r>
          </w:p>
        </w:tc>
        <w:tc>
          <w:tcPr/>
          <w:p>
            <w:pPr>
              <w:pStyle w:val="Compact"/>
              <w:jc w:val="right"/>
            </w:pPr>
            <w:r>
              <w:t xml:space="preserve">0.401*</w:t>
            </w:r>
          </w:p>
        </w:tc>
        <w:tc>
          <w:tcPr/>
          <w:p>
            <w:pPr>
              <w:pStyle w:val="Compact"/>
              <w:jc w:val="right"/>
            </w:pPr>
            <w:r>
              <w:t xml:space="preserve">0.646*</w:t>
            </w:r>
          </w:p>
        </w:tc>
        <w:tc>
          <w:tcPr/>
          <w:p>
            <w:pPr>
              <w:pStyle w:val="Compact"/>
            </w:pPr>
          </w:p>
        </w:tc>
        <w:tc>
          <w:tcPr/>
          <w:p>
            <w:pPr>
              <w:pStyle w:val="Compact"/>
              <w:jc w:val="right"/>
            </w:pPr>
            <w:r>
              <w:t xml:space="preserve">0.565*</w:t>
            </w:r>
          </w:p>
        </w:tc>
      </w:tr>
      <w:tr>
        <w:tc>
          <w:tcPr/>
          <w:p>
            <w:pPr>
              <w:pStyle w:val="Compact"/>
            </w:pPr>
            <w:r>
              <w:t xml:space="preserve">zone South East</w:t>
            </w:r>
          </w:p>
        </w:tc>
        <w:tc>
          <w:tcPr/>
          <w:p>
            <w:pPr>
              <w:pStyle w:val="Compact"/>
              <w:jc w:val="right"/>
            </w:pPr>
            <w:r>
              <w:t xml:space="preserve">1.087</w:t>
            </w:r>
          </w:p>
        </w:tc>
        <w:tc>
          <w:tcPr/>
          <w:p>
            <w:pPr>
              <w:pStyle w:val="Compact"/>
              <w:jc w:val="right"/>
            </w:pPr>
            <w:r>
              <w:t xml:space="preserve">0.402*</w:t>
            </w:r>
          </w:p>
        </w:tc>
        <w:tc>
          <w:tcPr/>
          <w:p>
            <w:pPr>
              <w:pStyle w:val="Compact"/>
              <w:jc w:val="right"/>
            </w:pPr>
            <w:r>
              <w:t xml:space="preserve">0.996</w:t>
            </w:r>
          </w:p>
        </w:tc>
        <w:tc>
          <w:tcPr/>
          <w:p>
            <w:pPr>
              <w:pStyle w:val="Compact"/>
            </w:pPr>
          </w:p>
        </w:tc>
        <w:tc>
          <w:tcPr/>
          <w:p>
            <w:pPr>
              <w:pStyle w:val="Compact"/>
              <w:jc w:val="right"/>
            </w:pPr>
            <w:r>
              <w:t xml:space="preserve">1.018</w:t>
            </w:r>
          </w:p>
        </w:tc>
      </w:tr>
      <w:tr>
        <w:tc>
          <w:tcPr/>
          <w:p>
            <w:pPr>
              <w:pStyle w:val="Compact"/>
            </w:pPr>
            <w:r>
              <w:t xml:space="preserve">zone South South</w:t>
            </w:r>
          </w:p>
        </w:tc>
        <w:tc>
          <w:tcPr/>
          <w:p>
            <w:pPr>
              <w:pStyle w:val="Compact"/>
              <w:jc w:val="right"/>
            </w:pPr>
            <w:r>
              <w:t xml:space="preserve">1.107</w:t>
            </w:r>
          </w:p>
        </w:tc>
        <w:tc>
          <w:tcPr/>
          <w:p>
            <w:pPr>
              <w:pStyle w:val="Compact"/>
              <w:jc w:val="right"/>
            </w:pPr>
            <w:r>
              <w:t xml:space="preserve">0.372*</w:t>
            </w:r>
          </w:p>
        </w:tc>
        <w:tc>
          <w:tcPr/>
          <w:p>
            <w:pPr>
              <w:pStyle w:val="Compact"/>
              <w:jc w:val="right"/>
            </w:pPr>
            <w:r>
              <w:t xml:space="preserve">0.921</w:t>
            </w:r>
          </w:p>
        </w:tc>
        <w:tc>
          <w:tcPr/>
          <w:p>
            <w:pPr>
              <w:pStyle w:val="Compact"/>
            </w:pPr>
          </w:p>
        </w:tc>
        <w:tc>
          <w:tcPr/>
          <w:p>
            <w:pPr>
              <w:pStyle w:val="Compact"/>
              <w:jc w:val="right"/>
            </w:pPr>
            <w:r>
              <w:t xml:space="preserve">0.948</w:t>
            </w:r>
          </w:p>
        </w:tc>
      </w:tr>
      <w:tr>
        <w:tc>
          <w:tcPr/>
          <w:p>
            <w:pPr>
              <w:pStyle w:val="Compact"/>
            </w:pPr>
            <w:r>
              <w:t xml:space="preserve">zone South West</w:t>
            </w:r>
          </w:p>
        </w:tc>
        <w:tc>
          <w:tcPr/>
          <w:p>
            <w:pPr>
              <w:pStyle w:val="Compact"/>
              <w:jc w:val="right"/>
            </w:pPr>
            <w:r>
              <w:t xml:space="preserve">0.714*</w:t>
            </w:r>
          </w:p>
        </w:tc>
        <w:tc>
          <w:tcPr/>
          <w:p>
            <w:pPr>
              <w:pStyle w:val="Compact"/>
              <w:jc w:val="right"/>
            </w:pPr>
            <w:r>
              <w:t xml:space="preserve">0.176*</w:t>
            </w:r>
          </w:p>
        </w:tc>
        <w:tc>
          <w:tcPr/>
          <w:p>
            <w:pPr>
              <w:pStyle w:val="Compact"/>
              <w:jc w:val="right"/>
            </w:pPr>
            <w:r>
              <w:t xml:space="preserve">0.841</w:t>
            </w:r>
          </w:p>
        </w:tc>
        <w:tc>
          <w:tcPr/>
          <w:p>
            <w:pPr>
              <w:pStyle w:val="Compact"/>
            </w:pPr>
          </w:p>
        </w:tc>
        <w:tc>
          <w:tcPr/>
          <w:p>
            <w:pPr>
              <w:pStyle w:val="Compact"/>
              <w:jc w:val="right"/>
            </w:pPr>
            <w:r>
              <w:t xml:space="preserve">0.586*</w:t>
            </w:r>
          </w:p>
        </w:tc>
      </w:tr>
      <w:tr>
        <w:tc>
          <w:tcPr/>
          <w:p>
            <w:pPr>
              <w:pStyle w:val="Compact"/>
            </w:pPr>
            <w:r>
              <w:t xml:space="preserve">quintile 2</w:t>
            </w:r>
          </w:p>
        </w:tc>
        <w:tc>
          <w:tcPr/>
          <w:p>
            <w:pPr>
              <w:pStyle w:val="Compact"/>
              <w:jc w:val="right"/>
            </w:pPr>
            <w:r>
              <w:t xml:space="preserve">1.306*</w:t>
            </w:r>
          </w:p>
        </w:tc>
        <w:tc>
          <w:tcPr/>
          <w:p>
            <w:pPr>
              <w:pStyle w:val="Compact"/>
              <w:jc w:val="right"/>
            </w:pPr>
            <w:r>
              <w:t xml:space="preserve">2.619*</w:t>
            </w:r>
          </w:p>
        </w:tc>
        <w:tc>
          <w:tcPr/>
          <w:p>
            <w:pPr>
              <w:pStyle w:val="Compact"/>
              <w:jc w:val="right"/>
            </w:pPr>
            <w:r>
              <w:t xml:space="preserve">1.237*</w:t>
            </w:r>
          </w:p>
        </w:tc>
        <w:tc>
          <w:tcPr/>
          <w:p>
            <w:pPr>
              <w:pStyle w:val="Compact"/>
              <w:jc w:val="right"/>
            </w:pPr>
            <w:r>
              <w:t xml:space="preserve">2.961*</w:t>
            </w:r>
          </w:p>
        </w:tc>
        <w:tc>
          <w:tcPr/>
          <w:p>
            <w:pPr>
              <w:pStyle w:val="Compact"/>
              <w:jc w:val="right"/>
            </w:pPr>
            <w:r>
              <w:t xml:space="preserve">1.766*</w:t>
            </w:r>
          </w:p>
        </w:tc>
      </w:tr>
      <w:tr>
        <w:tc>
          <w:tcPr/>
          <w:p>
            <w:pPr>
              <w:pStyle w:val="Compact"/>
            </w:pPr>
            <w:r>
              <w:t xml:space="preserve">quintile 3</w:t>
            </w:r>
          </w:p>
        </w:tc>
        <w:tc>
          <w:tcPr/>
          <w:p>
            <w:pPr>
              <w:pStyle w:val="Compact"/>
              <w:jc w:val="right"/>
            </w:pPr>
            <w:r>
              <w:t xml:space="preserve">1.627*</w:t>
            </w:r>
          </w:p>
        </w:tc>
        <w:tc>
          <w:tcPr/>
          <w:p>
            <w:pPr>
              <w:pStyle w:val="Compact"/>
              <w:jc w:val="right"/>
            </w:pPr>
            <w:r>
              <w:t xml:space="preserve">2.628*</w:t>
            </w:r>
          </w:p>
        </w:tc>
        <w:tc>
          <w:tcPr/>
          <w:p>
            <w:pPr>
              <w:pStyle w:val="Compact"/>
              <w:jc w:val="right"/>
            </w:pPr>
            <w:r>
              <w:t xml:space="preserve">1.293*</w:t>
            </w:r>
          </w:p>
        </w:tc>
        <w:tc>
          <w:tcPr/>
          <w:p>
            <w:pPr>
              <w:pStyle w:val="Compact"/>
              <w:jc w:val="right"/>
            </w:pPr>
            <w:r>
              <w:t xml:space="preserve">2.772*</w:t>
            </w:r>
          </w:p>
        </w:tc>
        <w:tc>
          <w:tcPr/>
          <w:p>
            <w:pPr>
              <w:pStyle w:val="Compact"/>
              <w:jc w:val="right"/>
            </w:pPr>
            <w:r>
              <w:t xml:space="preserve">2.345*</w:t>
            </w:r>
          </w:p>
        </w:tc>
      </w:tr>
      <w:tr>
        <w:tc>
          <w:tcPr/>
          <w:p>
            <w:pPr>
              <w:pStyle w:val="Compact"/>
            </w:pPr>
            <w:r>
              <w:t xml:space="preserve">quintile 4</w:t>
            </w:r>
          </w:p>
        </w:tc>
        <w:tc>
          <w:tcPr/>
          <w:p>
            <w:pPr>
              <w:pStyle w:val="Compact"/>
              <w:jc w:val="right"/>
            </w:pPr>
            <w:r>
              <w:t xml:space="preserve">1.706*</w:t>
            </w:r>
          </w:p>
        </w:tc>
        <w:tc>
          <w:tcPr/>
          <w:p>
            <w:pPr>
              <w:pStyle w:val="Compact"/>
              <w:jc w:val="right"/>
            </w:pPr>
            <w:r>
              <w:t xml:space="preserve">3.497*</w:t>
            </w:r>
          </w:p>
        </w:tc>
        <w:tc>
          <w:tcPr/>
          <w:p>
            <w:pPr>
              <w:pStyle w:val="Compact"/>
              <w:jc w:val="right"/>
            </w:pPr>
            <w:r>
              <w:t xml:space="preserve">1.712*</w:t>
            </w:r>
          </w:p>
        </w:tc>
        <w:tc>
          <w:tcPr/>
          <w:p>
            <w:pPr>
              <w:pStyle w:val="Compact"/>
              <w:jc w:val="right"/>
            </w:pPr>
            <w:r>
              <w:t xml:space="preserve">5.042*</w:t>
            </w:r>
          </w:p>
        </w:tc>
        <w:tc>
          <w:tcPr/>
          <w:p>
            <w:pPr>
              <w:pStyle w:val="Compact"/>
              <w:jc w:val="right"/>
            </w:pPr>
            <w:r>
              <w:t xml:space="preserve">3.351*</w:t>
            </w:r>
          </w:p>
        </w:tc>
      </w:tr>
      <w:tr>
        <w:tc>
          <w:tcPr/>
          <w:p>
            <w:pPr>
              <w:pStyle w:val="Compact"/>
            </w:pPr>
            <w:r>
              <w:t xml:space="preserve">quintile 5</w:t>
            </w:r>
          </w:p>
        </w:tc>
        <w:tc>
          <w:tcPr/>
          <w:p>
            <w:pPr>
              <w:pStyle w:val="Compact"/>
              <w:jc w:val="right"/>
            </w:pPr>
            <w:r>
              <w:t xml:space="preserve">1.988*</w:t>
            </w:r>
          </w:p>
        </w:tc>
        <w:tc>
          <w:tcPr/>
          <w:p>
            <w:pPr>
              <w:pStyle w:val="Compact"/>
              <w:jc w:val="right"/>
            </w:pPr>
            <w:r>
              <w:t xml:space="preserve">5.732*</w:t>
            </w:r>
          </w:p>
        </w:tc>
        <w:tc>
          <w:tcPr/>
          <w:p>
            <w:pPr>
              <w:pStyle w:val="Compact"/>
              <w:jc w:val="right"/>
            </w:pPr>
            <w:r>
              <w:t xml:space="preserve">3.044*</w:t>
            </w:r>
          </w:p>
        </w:tc>
        <w:tc>
          <w:tcPr/>
          <w:p>
            <w:pPr>
              <w:pStyle w:val="Compact"/>
              <w:jc w:val="right"/>
            </w:pPr>
            <w:r>
              <w:t xml:space="preserve">5.932*</w:t>
            </w:r>
          </w:p>
        </w:tc>
        <w:tc>
          <w:tcPr/>
          <w:p>
            <w:pPr>
              <w:pStyle w:val="Compact"/>
              <w:jc w:val="right"/>
            </w:pPr>
            <w:r>
              <w:t xml:space="preserve">6.936*</w:t>
            </w:r>
          </w:p>
        </w:tc>
      </w:tr>
      <w:tr>
        <w:tc>
          <w:tcPr/>
          <w:p>
            <w:pPr>
              <w:pStyle w:val="Compact"/>
            </w:pPr>
            <w:r>
              <w:t xml:space="preserve">female</w:t>
            </w:r>
          </w:p>
        </w:tc>
        <w:tc>
          <w:tcPr/>
          <w:p>
            <w:pPr>
              <w:pStyle w:val="Compact"/>
              <w:jc w:val="right"/>
            </w:pPr>
            <w:r>
              <w:t xml:space="preserve">1.072*</w:t>
            </w:r>
          </w:p>
        </w:tc>
        <w:tc>
          <w:tcPr/>
          <w:p>
            <w:pPr>
              <w:pStyle w:val="Compact"/>
              <w:jc w:val="right"/>
            </w:pPr>
            <w:r>
              <w:t xml:space="preserve">1.103</w:t>
            </w:r>
          </w:p>
        </w:tc>
        <w:tc>
          <w:tcPr/>
          <w:p>
            <w:pPr>
              <w:pStyle w:val="Compact"/>
              <w:jc w:val="right"/>
            </w:pPr>
            <w:r>
              <w:t xml:space="preserve">0.867*</w:t>
            </w:r>
          </w:p>
        </w:tc>
        <w:tc>
          <w:tcPr/>
          <w:p>
            <w:pPr>
              <w:pStyle w:val="Compact"/>
              <w:jc w:val="right"/>
            </w:pPr>
            <w:r>
              <w:t xml:space="preserve">0.901</w:t>
            </w:r>
          </w:p>
        </w:tc>
        <w:tc>
          <w:tcPr/>
          <w:p>
            <w:pPr>
              <w:pStyle w:val="Compact"/>
              <w:jc w:val="right"/>
            </w:pPr>
            <w:r>
              <w:t xml:space="preserve">0.948</w:t>
            </w:r>
          </w:p>
        </w:tc>
      </w:tr>
      <w:tr>
        <w:tc>
          <w:tcPr/>
          <w:p>
            <w:pPr>
              <w:pStyle w:val="Compact"/>
            </w:pPr>
            <w:r>
              <w:t xml:space="preserve">urban</w:t>
            </w:r>
          </w:p>
        </w:tc>
        <w:tc>
          <w:tcPr/>
          <w:p>
            <w:pPr>
              <w:pStyle w:val="Compact"/>
              <w:jc w:val="right"/>
            </w:pPr>
            <w:r>
              <w:t xml:space="preserve">1.049</w:t>
            </w:r>
          </w:p>
        </w:tc>
        <w:tc>
          <w:tcPr/>
          <w:p>
            <w:pPr>
              <w:pStyle w:val="Compact"/>
              <w:jc w:val="right"/>
            </w:pPr>
            <w:r>
              <w:t xml:space="preserve">1.569*</w:t>
            </w:r>
          </w:p>
        </w:tc>
        <w:tc>
          <w:tcPr/>
          <w:p>
            <w:pPr>
              <w:pStyle w:val="Compact"/>
              <w:jc w:val="right"/>
            </w:pPr>
            <w:r>
              <w:t xml:space="preserve">1.069</w:t>
            </w:r>
          </w:p>
        </w:tc>
        <w:tc>
          <w:tcPr/>
          <w:p>
            <w:pPr>
              <w:pStyle w:val="Compact"/>
              <w:jc w:val="right"/>
            </w:pPr>
            <w:r>
              <w:t xml:space="preserve">0.684*</w:t>
            </w:r>
          </w:p>
        </w:tc>
        <w:tc>
          <w:tcPr/>
          <w:p>
            <w:pPr>
              <w:pStyle w:val="Compact"/>
              <w:jc w:val="right"/>
            </w:pPr>
            <w:r>
              <w:t xml:space="preserve">1.049</w:t>
            </w:r>
          </w:p>
        </w:tc>
      </w:tr>
      <w:tr>
        <w:tc>
          <w:tcPr/>
          <w:p>
            <w:pPr>
              <w:pStyle w:val="Compact"/>
            </w:pPr>
            <w:r>
              <w:t xml:space="preserve">chronic</w:t>
            </w:r>
          </w:p>
        </w:tc>
        <w:tc>
          <w:tcPr/>
          <w:p>
            <w:pPr>
              <w:pStyle w:val="Compact"/>
              <w:jc w:val="right"/>
            </w:pPr>
            <w:r>
              <w:t xml:space="preserve">1.704*</w:t>
            </w:r>
          </w:p>
        </w:tc>
        <w:tc>
          <w:tcPr/>
          <w:p>
            <w:pPr>
              <w:pStyle w:val="Compact"/>
              <w:jc w:val="right"/>
            </w:pPr>
            <w:r>
              <w:t xml:space="preserve">2.934*</w:t>
            </w:r>
          </w:p>
        </w:tc>
        <w:tc>
          <w:tcPr/>
          <w:p>
            <w:pPr>
              <w:pStyle w:val="Compact"/>
              <w:jc w:val="right"/>
            </w:pPr>
            <w:r>
              <w:t xml:space="preserve">1.622*</w:t>
            </w:r>
          </w:p>
        </w:tc>
        <w:tc>
          <w:tcPr/>
          <w:p>
            <w:pPr>
              <w:pStyle w:val="Compact"/>
            </w:pPr>
          </w:p>
        </w:tc>
        <w:tc>
          <w:tcPr/>
          <w:p>
            <w:pPr>
              <w:pStyle w:val="Compact"/>
              <w:jc w:val="right"/>
            </w:pPr>
            <w:r>
              <w:t xml:space="preserve">3.248*</w:t>
            </w:r>
          </w:p>
        </w:tc>
      </w:tr>
      <w:tr>
        <w:tc>
          <w:tcPr/>
          <w:p>
            <w:pPr>
              <w:pStyle w:val="Compact"/>
            </w:pPr>
            <w:r>
              <w:t xml:space="preserve">hhsize</w:t>
            </w:r>
          </w:p>
        </w:tc>
        <w:tc>
          <w:tcPr/>
          <w:p>
            <w:pPr>
              <w:pStyle w:val="Compact"/>
              <w:jc w:val="right"/>
            </w:pPr>
            <w:r>
              <w:t xml:space="preserve">0.988</w:t>
            </w:r>
          </w:p>
        </w:tc>
        <w:tc>
          <w:tcPr/>
          <w:p>
            <w:pPr>
              <w:pStyle w:val="Compact"/>
              <w:jc w:val="right"/>
            </w:pPr>
            <w:r>
              <w:t xml:space="preserve">1.016</w:t>
            </w:r>
          </w:p>
        </w:tc>
        <w:tc>
          <w:tcPr/>
          <w:p>
            <w:pPr>
              <w:pStyle w:val="Compact"/>
              <w:jc w:val="right"/>
            </w:pPr>
            <w:r>
              <w:t xml:space="preserve">1.038*</w:t>
            </w:r>
          </w:p>
        </w:tc>
        <w:tc>
          <w:tcPr/>
          <w:p>
            <w:pPr>
              <w:pStyle w:val="Compact"/>
            </w:pP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near its maximum, and calibration by decile of prediction.</w:t>
      </w:r>
    </w:p>
    <w:p>
      <w:pPr>
        <w:pStyle w:val="BodyText"/>
      </w:pPr>
      <w:r>
        <w:rPr>
          <w:i/>
          <w:iCs/>
        </w:rPr>
        <w:t xml:space="preserve">The full profile is in output/tables/tableA2_tweedie_profile.csv.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for a 20,000-life pool with no opening capital, and the medical-inflation stress.</w:t>
      </w:r>
    </w:p>
    <w:p>
      <w:pPr>
        <w:pStyle w:val="BodyText"/>
      </w:pPr>
      <w:r>
        <w:rPr>
          <w:i/>
          <w:iCs/>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 (percent).</w:t>
      </w:r>
    </w:p>
    <w:p>
      <w:pPr>
        <w:pStyle w:val="BodyText"/>
      </w:pPr>
      <w:r>
        <w:rPr>
          <w:i/>
          <w:iCs/>
        </w:rPr>
        <w:t xml:space="preserve">Design-based 95% intervals for every cell are in output/tables/table7c_by_quintile.csv.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Q1 (poorest)</w:t>
            </w:r>
          </w:p>
        </w:tc>
        <w:tc>
          <w:tcPr/>
          <w:p>
            <w:pPr>
              <w:pStyle w:val="Compact"/>
              <w:jc w:val="right"/>
            </w:pPr>
            <w:r>
              <w:t xml:space="preserve">Q2</w:t>
            </w:r>
          </w:p>
        </w:tc>
        <w:tc>
          <w:tcPr/>
          <w:p>
            <w:pPr>
              <w:pStyle w:val="Compact"/>
              <w:jc w:val="right"/>
            </w:pPr>
            <w:r>
              <w:t xml:space="preserve">Q3</w:t>
            </w:r>
          </w:p>
        </w:tc>
        <w:tc>
          <w:tcPr/>
          <w:p>
            <w:pPr>
              <w:pStyle w:val="Compact"/>
              <w:jc w:val="right"/>
            </w:pPr>
            <w:r>
              <w:t xml:space="preserve">Q4</w:t>
            </w:r>
          </w:p>
        </w:tc>
        <w:tc>
          <w:tcPr/>
          <w:p>
            <w:pPr>
              <w:pStyle w:val="Compact"/>
              <w:jc w:val="right"/>
            </w:pPr>
            <w:r>
              <w:t xml:space="preserve">Q5 (richest)</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11.9</w:t>
            </w:r>
          </w:p>
        </w:tc>
        <w:tc>
          <w:tcPr/>
          <w:p>
            <w:pPr>
              <w:pStyle w:val="Compact"/>
              <w:jc w:val="right"/>
            </w:pPr>
            <w:r>
              <w:t xml:space="preserve">14.4</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9.9</w:t>
            </w:r>
          </w:p>
        </w:tc>
        <w:tc>
          <w:tcPr/>
          <w:p>
            <w:pPr>
              <w:pStyle w:val="Compact"/>
              <w:jc w:val="right"/>
            </w:pPr>
            <w:r>
              <w:t xml:space="preserve">11.2</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22.5</w:t>
            </w:r>
          </w:p>
        </w:tc>
        <w:tc>
          <w:tcPr/>
          <w:p>
            <w:pPr>
              <w:pStyle w:val="Compact"/>
              <w:jc w:val="right"/>
            </w:pPr>
            <w:r>
              <w:t xml:space="preserve">11.8</w:t>
            </w:r>
          </w:p>
        </w:tc>
        <w:tc>
          <w:tcPr/>
          <w:p>
            <w:pPr>
              <w:pStyle w:val="Compact"/>
              <w:jc w:val="right"/>
            </w:pPr>
            <w:r>
              <w:t xml:space="preserve">9.7</w:t>
            </w:r>
          </w:p>
        </w:tc>
        <w:tc>
          <w:tcPr/>
          <w:p>
            <w:pPr>
              <w:pStyle w:val="Compact"/>
              <w:jc w:val="right"/>
            </w:pPr>
            <w:r>
              <w:t xml:space="preserve">10.4</w:t>
            </w:r>
          </w:p>
        </w:tc>
        <w:tc>
          <w:tcPr/>
          <w:p>
            <w:pPr>
              <w:pStyle w:val="Compact"/>
              <w:jc w:val="right"/>
            </w:pPr>
            <w:r>
              <w:t xml:space="preserve">11.7</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4.2</w:t>
            </w:r>
          </w:p>
        </w:tc>
        <w:tc>
          <w:tcPr/>
          <w:p>
            <w:pPr>
              <w:pStyle w:val="Compact"/>
              <w:jc w:val="right"/>
            </w:pPr>
            <w:r>
              <w:t xml:space="preserve">4.6</w:t>
            </w:r>
          </w:p>
        </w:tc>
        <w:tc>
          <w:tcPr/>
          <w:p>
            <w:pPr>
              <w:pStyle w:val="Compact"/>
              <w:jc w:val="right"/>
            </w:pPr>
            <w:r>
              <w:t xml:space="preserve">2.4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31.0</w:t>
            </w:r>
          </w:p>
        </w:tc>
        <w:tc>
          <w:tcPr/>
          <w:p>
            <w:pPr>
              <w:pStyle w:val="Compact"/>
              <w:jc w:val="right"/>
            </w:pPr>
            <w:r>
              <w:t xml:space="preserve">7.1</w:t>
            </w:r>
          </w:p>
        </w:tc>
        <w:tc>
          <w:tcPr/>
          <w:p>
            <w:pPr>
              <w:pStyle w:val="Compact"/>
              <w:jc w:val="right"/>
            </w:pPr>
            <w:r>
              <w:t xml:space="preserve">6.0</w:t>
            </w:r>
          </w:p>
        </w:tc>
        <w:tc>
          <w:tcPr/>
          <w:p>
            <w:pPr>
              <w:pStyle w:val="Compact"/>
              <w:jc w:val="right"/>
            </w:pPr>
            <w:r>
              <w:t xml:space="preserve">7.1</w:t>
            </w:r>
          </w:p>
        </w:tc>
        <w:tc>
          <w:tcPr/>
          <w:p>
            <w:pPr>
              <w:pStyle w:val="Compact"/>
              <w:jc w:val="right"/>
            </w:pPr>
            <w:r>
              <w:t xml:space="preserve">6.5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28.3</w:t>
            </w:r>
          </w:p>
        </w:tc>
        <w:tc>
          <w:tcPr/>
          <w:p>
            <w:pPr>
              <w:pStyle w:val="Compact"/>
              <w:jc w:val="right"/>
            </w:pPr>
            <w:r>
              <w:t xml:space="preserve">7.5</w:t>
            </w:r>
          </w:p>
        </w:tc>
        <w:tc>
          <w:tcPr/>
          <w:p>
            <w:pPr>
              <w:pStyle w:val="Compact"/>
              <w:jc w:val="right"/>
            </w:pPr>
            <w:r>
              <w:t xml:space="preserve">2.4</w:t>
            </w:r>
          </w:p>
        </w:tc>
        <w:tc>
          <w:tcPr/>
          <w:p>
            <w:pPr>
              <w:pStyle w:val="Compact"/>
              <w:jc w:val="right"/>
            </w:pPr>
            <w:r>
              <w:t xml:space="preserve">2.5</w:t>
            </w:r>
          </w:p>
        </w:tc>
        <w:tc>
          <w:tcPr/>
          <w:p>
            <w:pPr>
              <w:pStyle w:val="Compact"/>
              <w:jc w:val="right"/>
            </w:pPr>
            <w:r>
              <w:t xml:space="preserve">1.5</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12.6</w:t>
            </w:r>
          </w:p>
        </w:tc>
        <w:tc>
          <w:tcPr/>
          <w:p>
            <w:pPr>
              <w:pStyle w:val="Compact"/>
              <w:jc w:val="right"/>
            </w:pPr>
            <w:r>
              <w:t xml:space="preserve">7.1</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12.3</w:t>
            </w:r>
          </w:p>
        </w:tc>
        <w:tc>
          <w:tcPr/>
          <w:p>
            <w:pPr>
              <w:pStyle w:val="Compact"/>
              <w:jc w:val="right"/>
            </w:pPr>
            <w:r>
              <w:t xml:space="preserve">7.5</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3.4</w:t>
            </w:r>
          </w:p>
        </w:tc>
        <w:tc>
          <w:tcPr/>
          <w:p>
            <w:pPr>
              <w:pStyle w:val="Compact"/>
              <w:jc w:val="right"/>
            </w:pPr>
            <w:r>
              <w:t xml:space="preserve">5.4</w:t>
            </w:r>
          </w:p>
        </w:tc>
        <w:tc>
          <w:tcPr/>
          <w:p>
            <w:pPr>
              <w:pStyle w:val="Compact"/>
              <w:jc w:val="right"/>
            </w:pPr>
            <w:r>
              <w:t xml:space="preserve">5.8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2.0</w:t>
            </w:r>
          </w:p>
        </w:tc>
        <w:tc>
          <w:tcPr/>
          <w:p>
            <w:pPr>
              <w:pStyle w:val="Compact"/>
              <w:jc w:val="right"/>
            </w:pPr>
            <w:r>
              <w:t xml:space="preserve">1.3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32.3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3.9</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29.0</w:t>
            </w:r>
          </w:p>
        </w:tc>
        <w:tc>
          <w:tcPr/>
          <w:p>
            <w:pPr>
              <w:pStyle w:val="Compact"/>
              <w:jc w:val="right"/>
            </w:pPr>
            <w:r>
              <w:t xml:space="preserve">6.7</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2026-09-21T20:11:06Z</dcterms:created>
  <dcterms:modified xsi:type="dcterms:W3CDTF">2026-09-21T20:11:06Z</dcterms:modified>
</cp:coreProperties>
</file>

<file path=docProps/custom.xml><?xml version="1.0" encoding="utf-8"?>
<Properties xmlns="http://schemas.openxmlformats.org/officeDocument/2006/custom-properties" xmlns:vt="http://schemas.openxmlformats.org/officeDocument/2006/docPropsVTypes"/>
</file>