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5,457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2023/24 (4,685 households, 24,629 individuals), we estimated catastrophic health expenditure (CHE) on a consumption aggregate calibrated to published wave-4 data,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Insurance covers 1.07% of individuals. CHE at the 10% budget-share threshold affects 14.1% of the population (6.7% to 14.1% across recall bounds; 16.7% uncalibrated) and 7.9% on capacity to pay, the only measure concentrated among the poor. The gross premium is ₦27,247 per person-year (95% interval ₦24,270 to ₦30,388) against a contribution ceiling of ₦10,022. A 20,000-life pool needs a subsidy of ₦15,339 per enrollee under random take-up and ₦51,401 under strong adverse selection at low take-up. Graded contributions halve the subsidy; reinsurance does not reduce it. Fully subsidized coverage cuts CHE to 4.4%; a flat contribution leaves it at 11.5%.</w:t>
      </w:r>
    </w:p>
    <w:p>
      <w:pPr>
        <w:pStyle w:val="BodyText"/>
      </w:pPr>
      <w:r>
        <w:rPr>
          <w:b/>
          <w:bCs/>
        </w:rPr>
        <w:t xml:space="preserve">Conclusions.</w:t>
      </w:r>
      <w:r>
        <w:t xml:space="preserve"> </w:t>
      </w:r>
      <w:r>
        <w:t xml:space="preserve">The statutory package costs 2.7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Four years on, the Authority reports about 22 million enrollees, under 10% of the population, and informal employment stands at 93.0% of all employment (National Bureau of Statistics 2024). In the 2023/24 survey year analyzed here, 1.07% of individuals held health insurance.</w:t>
      </w:r>
    </w:p>
    <w:p>
      <w:pPr>
        <w:pStyle w:val="BodyText"/>
      </w:pPr>
      <w:r>
        <w:t xml:space="preserve">A substantial Nigerian literature measures catastrophic health expenditure (Aregbeshola and Khan 2018; Edeh 2022; Opeloyeru and Lawanson 2023; Aniebo et al. 2025),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Several states have announced informal-sector contribution rates; Lagos State’s Ilera Eko plan charges ₦15,000 a year for an individual and ₦55,000 for a family of four (July 2024). These rates are set administratively rather than actuarially, and we compare them with the modeled premium.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published incidence at the 10% threshold ranges from 16.4% for 2009/10 (Aregbeshola and Khan 2018) to 45.5% for 2023/24 (Aniebo et al. 2025), with Edeh (2022) reporting a rise across three earlier survey rounds. The last of these uses the same survey wave as this paper, and Section 6 reconciles the two.</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5 (2023/24) is the analysis file; wave 4 (2018/19), which carries a published consumption aggregate, is used for calibration and comparison. After dropping households without a cross-sectional weight, the file holds 4,685 households and 24,629 individuals in 511 enumeration areas across six strata; the weight grosses to 40.6 million households and 211 million people.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asks every member whether they sought care in the past four weeks and what was paid for the consultation (explicitly excluding drugs), prescription drugs and non-prescription drugs, and separately about hospitalization and its cost over twelve months. The drug questions exclude drugs related to admissions and the hospitalization question includes them, so the two components do not overlap. Drugs are 86.25% of measured outpatient spending. Transport is excluded, following WHO practice, and tested as a variant. The non-food consumption module also asks a single twelve-month question about health spending; only 17% of households report any, implying a spending share of 0.3% of consumption against 4.9% in the published wave-4 aggregate, so it is not used.</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wave-4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Wave 5 publishes no consumption aggregate. One is rebuilt from the food module (seven-day recall, own production and gifts valued at local median unit values), three non-food modules and the education module, with health spending entering once from the health module. The same code run on wave 4 recovers 84% of the published aggregate, ranks households with a Spearman correlation of 0.80, and omits imputed rent. Holding out-of-pocket spending fixed, that shortfall raises CHE at the 10% threshold on wave 4 from 14.1% with the official aggregate to 17.6% with the rebuilt one. The main results therefore use a calibrated aggregate: each rebuilt component is scaled by the ratio of its official to its rebuilt wave-4 mean (1.158 for food, 0.892 for non-food) and imputed rent is added at the official rent-to-non-rent ratio (0.069). Imputed rent is 6.4% of calibrated wave-5 consumption. Applied to wave 4 itself the calibrated aggregate recovers 96% of the official level and gives CHE of 15.2% against 14.1% (Table A1). Uncalibrated results are reported throughout so the effect of the calibration is visible.</w:t>
      </w:r>
    </w:p>
    <w:p>
      <w:pPr>
        <w:pStyle w:val="BodyText"/>
      </w:pPr>
      <w:r>
        <w:rPr>
          <w:b/>
          <w:bCs/>
        </w:rPr>
        <w:t xml:space="preserve">Coverage and sector.</w:t>
      </w:r>
      <w:r>
        <w:t xml:space="preserve"> </w:t>
      </w:r>
      <w:r>
        <w:t xml:space="preserve">Section 5A asks whether any household member holds insurance, of what type, and which members are covered; the health type was identified by the fact that all ten households reporting a health-insurance premium in the consumption module report type 1. A worker is formal when the employer is a public body, state-owned enterprise, NGO or international organization, or a private firm with five or more staff; a household is informal if it contains no formal worker. On this rule 81.2% of households are informal (80.0% of the population). Three alternative rules are tested.</w:t>
      </w:r>
    </w:p>
    <w:p>
      <w:pPr>
        <w:pStyle w:val="BodyText"/>
      </w:pPr>
      <w:r>
        <w:rPr>
          <w:b/>
          <w:bCs/>
        </w:rPr>
        <w:t xml:space="preserve">Prices and poverty line.</w:t>
      </w:r>
      <w:r>
        <w:t xml:space="preserve"> </w:t>
      </w:r>
      <w:r>
        <w:t xml:space="preserve">All naira are constant August-2023 prices. The 2019 national poverty line of ₦137,430 per person per year (National Bureau of Statistics 2020) is carried forward with the composite CPI (factor 2.31) to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A12).</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X4564e91ad49e2e6b7162d04316b302dcf5747cf"/>
    <w:p>
      <w:pPr>
        <w:pStyle w:val="Heading3"/>
      </w:pPr>
      <w:r>
        <w:t xml:space="preserve">5.1 Sample, coverage and catastrophic expenditure</w:t>
      </w:r>
    </w:p>
    <w:p>
      <w:pPr>
        <w:pStyle w:val="FirstParagraph"/>
      </w:pPr>
      <w:r>
        <w:t xml:space="preserve">Mean household size is 5.2, mean annual consumption on the calibrated aggregate ₦1.99 million, and out-of-pocket health payments average 4.9% of consumption (Table 1). Informal-sector households are poorer (per-capita consumption ₦524,747 against ₦609,625, p = 0.008), more rural (34.3% against 60.1% urban) and more often female-headed (22.7% against 11.4%). Health insurance reaches 1.98% of households and 1.07% of individuals; coverage is 8.03% among formal-sector households against 0.57% among informal-sector households, and 0.20% of households paid a premium themselves (Table A2). The premise that the informal sector is the uncovered sector is observed, not assumed.</w:t>
      </w:r>
    </w:p>
    <w:p>
      <w:pPr>
        <w:pStyle w:val="BodyText"/>
      </w:pPr>
      <w:r>
        <w:t xml:space="preserve">Catastrophic expenditure affects 14.1% of the population at the 10% threshold (95% CI 12.5 to 15.8), 3.4% at 25% and 0.8% at 40%; 7.9% (6.7 to 9.1) exceed 40% of capacity to pay (Table 2, Figure 1). The household-weighted rate at the 10% threshold is 14.8%. On the uncalibrated aggregate the same figures are 16.7% and 11.3%; the calibration lowers both because it raises the denominator. Affected households do not cross the line narrowly: the mean overshoot is 10.2 points at the 10% threshold and 15.1 points on capacity to pay. Out-of-pocket payments raise the poverty headcount from 57.2% to 60.3%, an impoverishing effect of 3.1 points that is stable across poverty lines from half to one and a half times the national line while the headcount itself is not (Table A3).</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+0.040 (95% CI −0.018 to +0.098), not distinguishable from zero; for capacity-to-pay CHE it is −0.150 (−0.223 to −0.077), pro-poor (Table 3, Figure 2). The same pattern appears by sector: on the budget-share measure informal and formal households are equally affected (14.4% against 13.3%, p = 0.59), while on capacity to pay informal households are affected at 8.7% against 4.8% (p = 0.005). Most of that gap is composition. In a population-weighted linear probability model the informal coefficient on capacity-to-pay CHE falls from 3.8 points unadjusted to 3.1 points (p = 0.03) with quintile controls and to 2.4 points (p = 0.11) with quintile, zone, residence and household-size controls; on budget share it is 1.3 points (p = 0.49) with the same controls (Table 3). Informal households are more exposed because they are poorer and more rural, not detectably because of informality itself. The mechanism is arithmetic. Richer households consume more and buy more care, so the ratio to total consumption does not sort by hardship; net of subsistence, the same naira registers as a much larger shock for a poor household. A linear decomposition (Table A4) attributes most of the budget-share index to hospitalization and household size, but the index is too close to zero for shares to be meaningful, and for the capacity-to-pay index the residual dominates,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2.75 outpatient contacts and 0.030 inpatient episodes a year, at mean costs of ₦6,977 per outpatient episode and ₦43,985 per inpatient episode, giving a mean annual cost of ₦19,675 with 78% of individuals recording no cost. The contact model is underdispersed (Pearson dispersion 0.78), as expected when a binary indicator is modeled as a count, so the negative binomial adds nothing. The lognormal fits episode cost better than the gamma (AIC 95,299 against 98,131). The profile likelihood selects a Tweedie variance power of p = 1.65 (Tables A6 and A7). Calibration by decile of prediction is close, with observed-to-predicted ratios between 0.81 and 1.13 and a top-decile mean of ₦83,195 against a bottom-decile mean of ₦3,104. Randomized quantile residuals have mean 0.07, standard deviation 1.00 and skew −0.11; the normality test rejects at n = 24,629, as it will for any parametric model. Risk relativities are large (Table A5): people aged 60 or over cost 3.31 times the community mean and those with a severe functional difficulty 6.44 times; cost rises from 0.26 of the mean in the poorest quintile to 2.57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₦19,675 per person-year falls to ₦16,487 once traditional care and services outside the package are removed; induced demand adds ₦6,808 and the drug co-payment returns ₦1,837, leaving a pure premium of ₦21,459 (Table 4, Figure 3). Loadings take a 20,000-life pool to a gross premium of ₦27,247 on the standard-deviation margin and ₦29,437 on the CVaR margin. The risk margin is ₦81 and falls to ₦36 at 100,000 lives; administration and the selection load, not claims volatility, separate the gross from the pure premium. The bootstrap interval for the gross premium is ₦24,270 to ₦30,388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22.8% in the poorest quintile, 13.4% in Q2, 9.7% in Q3, 6.6% in Q4 and 3.0% in Q5, above the 5% ceiling in four quintiles out of five (Table 4). Billed per household it is ₦222,993 a year for an average household in Q1, which has 8.2 members. The contribution ceiling for informal-sector members of the bottom three quintiles is ₦10,022 per person-year, 37% of the gross premium. The modeled premium is 1.8 times Lagos State’s individual Ilera Eko rate and half its family-of-four rate, a comparison that is a plausibility check rather than a like-for-like test because the packages differ and the published rates are nominal 2024 naira.</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₦10,022, a 20,000-life pool with no opening capital needs a subsidy of ₦15,339 per enrollee to hold its three-year ruin probability below 5% under random take-up, ₦16,019 for a 1% target, and ₦51,401 under strong adverse selection (Table 5, Figure 4). Most of the subsidy is expected value: the expected claim of ₦21,342 divided by (1 − e) less the contribution gives ₦13,691, so process risk adds about ₦1,600 at this scale. Moving from a 5% to a 1% ruin target costs ₦680 per enrollee; moving from 5,000 to 100,000 lives lowers the subsidy under random take-up by 16%; moving from random to strong adverse selection raises it by a factor of 3.4. Opening capital equal to a quarter of a year’s income at the gross premium lowers the random-take-up subsidy to ₦11,161, and a permanent 25% rise in claims from year 2 raises it to ₦18,723 (Table A8).</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147% at 10% take-up, 60% at 50%, 24% at 75% and zero at 100%; the corresponding subsidy falls from ₦51,486 to ₦21,351 at 75% take-up and ₦15,358 at full take-up. The moderate tilt converges to the same path above 50% take-up, because at high take-up almost everyone is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₦17,986 and lowers the subsidy under random take-up to ₦7,375; exempting the bottom two quintiles and grading the rest gives ₦14,529 and ₦10,831. Under strong selection the graded schedules collect more because the sick are disproportionately in the richer quintiles, and the subsidy falls from ₦51,401 to about ₦35,000 to ₦37,000. Per-life excess-of-loss reinsurance at a ₦250,000 retention cuts the standard deviation of pool claims per enrollee from ₦850 to ₦315, but the loaded reinsurance premium of ₦8,260 exceeds the process-risk saving and the required subsidy rises to ₦16,399;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14.1% to 4.2% and capacity-to-pay CHE from 7.9% to 1.5% (Table 7). Measured on what households actually pay, the same coverage financed by the flat contribution cuts CHE only to 11.5% (a reduction of 2.6 points, p &lt; 0.001), and capacity-to-pay CHE is unchanged at 8.4% (p = 0.47): the contribution removes from poor households roughly what the coverage gives them, every year rather than only in years of illness. By quintile, the flat contribution raises CHE in the poorest quintile from 11.9% to 31.0% while lowering it elsewhere (Figure 6, Tables A9 and A10). Fully subsidized coverage cuts CHE to 4.4% (a reduction of 9.7 points) and capacity-to-pay CHE to 1.7%. Exempting the bottom two quintiles and grading the rest reaches 7.6% and 2.5%, and subsidizing only the vulnerable group reaches 10.4% and 4.5%. On the out-of-pocket-only basis the contributory scheme scores marginally better than the fully subsidized one (4.2% against 4.4%)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14.1% to 6.7% and capacity-to-pay CHE from 7.9% to 3.3%, because a household’s annual spending is then the sum of many small pieces rather than thirteen copies of one. The premium barely moves (₦27,612 against ₦27,247), since it is a mean, and the random-take-up subsidy falls by about ₦1,500 through lower process risk and a slightly lower expected claim. Multipliers of 12 and 10 lower CHE to 13.3% and 11.2% and the gross premium to ₦25,324 and ₦21,478. The truth lies between the persistence bounds; chronic conditions make some persistence certain.</w:t>
      </w:r>
    </w:p>
    <w:p>
      <w:pPr>
        <w:pStyle w:val="BodyText"/>
      </w:pPr>
      <w:r>
        <w:t xml:space="preserve">The bootstrap gives a standard error of 0.9 points on CHE at the 10% threshold, matching the linearized 0.8, and intervals of ₦24,270 to ₦30,388 for the gross premium, ₦12,050 to ₦18,948 for the random-take-up subsidy and ₦41,076 to ₦62,337 under strong selection. The 95% interval for the random-take-up subsidy is about a fifth as wide as the gap between random take-up and strong selection.</w:t>
      </w:r>
    </w:p>
    <w:p>
      <w:pPr>
        <w:pStyle w:val="BodyText"/>
      </w:pPr>
      <w:r>
        <w:t xml:space="preserve">Across the 26 rows of the robustness grid (Table A11), equivalence-scale exponents from 0.5 to 1.0 move capacity-to-pay CHE by under 0.2 points; alternative informality rules change the subsidy by under 5%; fixing the Tweedie power at 1.4, 1.5 or 1.7 changes nothing material; including transport raises CHE to 15.3% and the premium by 7%; trimming the top 1% of costs lowers the premium by 20% and the subsidy by 40%, which is why the tail is kept. Benefit-design parameters behave monotonically: the elasticity range −0.10 to −0.35 spans gross premiums of ₦22,874 to ₦35,858. Wave 4 on its published aggregate gives 14.1% at the 10% threshold and 6.7% on capacity to pay (Table A12), against 14.1% and 7.9% for wave 5 on the calibrated aggregate. The waves differ in season (the wave-4 health module was fielded after harvest) and in the annualizer, so the comparison supports no trend in either direction; the rise that the uncalibrated wave-5 figures suggest comes from the denominator.</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₦21,500 per person-year in 2023/24 prices and the gross premium about ₦27,200, with a sampling interval of roughly ₦24,000 to ₦30,000. The most the target population can contribute is about ₦10,000. The difference is the subsidy, ₦15,300 per enrollee under random take-up and up to ₦51,400 under strong selection, or ₦1.5 to ₦5.1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most of the protection it finances. Capacity-to-pay CHE does not fall when coverage is paid for by a uniform ₦10,022 contribution, and CHE in the poorest quintile rises from 12% to 31%. Contributions should be graded and the bottom two quintiles exempt; under random take-up that design lowers the subsidy by 29% relative to the flat schedule (a fully graded schedule lowers it by 52%) and delivers about two thirds of the reduction in CHE that full subsidy delivers. Third, reinsurance is the wrong instrument for this pool: its premium exceeds the volatility it removes.</w:t>
      </w:r>
    </w:p>
    <w:p>
      <w:pPr>
        <w:pStyle w:val="BodyText"/>
      </w:pPr>
      <w:r>
        <w:rPr>
          <w:b/>
          <w:bCs/>
        </w:rPr>
        <w:t xml:space="preserve">Measurement, and the Aniebo et al. estimate.</w:t>
      </w:r>
      <w:r>
        <w:t xml:space="preserve"> </w:t>
      </w:r>
      <w:r>
        <w:t xml:space="preserve">Our 14.1% at the 10% threshold sits with Aregbeshola and Khan’s 16.4% for 2009/10 and our own 14.1% for wave 4, and far from the 45.5% that Aniebo et al. (2025) report on the same 2023/24 survey, with a capacity-to-pay incidence of 43.1% and a pro-poor budget-share index of −0.152. Because both studies use the same households, the difference is a measurement difference, not a change in the population. Their abstract does not give enough detail on annualization or the consumption denominator for us to reproduce the 45.5%, so we cannot say which choice produces it. We can say how far the plausible choices move the estimate: within our own pipeline the annualization moves CHE between 6.7% and 14.1%, the denominator moves it between 14.1% and 16.7%, and the choice of instrument moves it between 0.1% and 16.7%. The level of catastrophic expenditure in Nigeria is dominated by measurement choices, and any subsidy calculation built on a single level inherits that. What is stable across our specifications is the ordering: the capacity-to-pay measure is pro-poor, and the budget-share measure shows no significant gradient in our data. Aniebo et al. find both measures pro-poor, so the budget-share gradient is itself sensitive to measurement choices, and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Observed coverage (107 households) is too thin to identify the effect of coverage on spending, so coverage is assigned rather than estimated. The consumption aggregate is calibrated to wave 4 in the mean, so wave-5 levels, and the poverty headcount in particular, remain approximate.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7% and 14% of Nigerians at the 10% budget-share threshold depending on how a four-week recall window is treated, and between 3% and 8% on capacity to pay; only the capacity-to-pay measure locates the burden among poor households, and the higher rate among informal-sector households reflects their lower consumption. The NHIA basic package costs about ₦21,500 per person-year before loadings and ₦27,200 after, against a contribution ceiling of ₦10,000 for the households the Act intends to protect. Closing the gap is public expenditure, not insurance sold to informal workers: about ₦15,000 per enrollee under group enrollment and three times that under individual voluntary enrollment. Grading contributions and exempting the poorest two quintiles halves the subsidy and preserves most of the protection; a flat contribution preserves little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t xml:space="preserve">Oluwatosin Dorcas Babalola: conceptualization, methodology, software, formal analysis, data curation, writing (original draft, review and editing).</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National Bureau of Statistics (2024).</w:t>
      </w:r>
      <w:r>
        <w:t xml:space="preserve"> </w:t>
      </w:r>
      <w:r>
        <w:rPr>
          <w:i/>
          <w:iCs/>
        </w:rPr>
        <w:t xml:space="preserve">Nigeria Labour Force Survey, Q2 2024</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 Accessed September 2026.</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1,991,166.15</w:t>
            </w:r>
          </w:p>
        </w:tc>
        <w:tc>
          <w:tcPr/>
          <w:p>
            <w:pPr>
              <w:pStyle w:val="Compact"/>
              <w:jc w:val="right"/>
            </w:pPr>
            <w:r>
              <w:t xml:space="preserve">44,759.72</w:t>
            </w:r>
          </w:p>
        </w:tc>
        <w:tc>
          <w:tcPr/>
          <w:p>
            <w:pPr>
              <w:pStyle w:val="Compact"/>
              <w:jc w:val="right"/>
            </w:pPr>
            <w:r>
              <w:t xml:space="preserve">1,846,388.41</w:t>
            </w:r>
          </w:p>
        </w:tc>
        <w:tc>
          <w:tcPr/>
          <w:p>
            <w:pPr>
              <w:pStyle w:val="Compact"/>
              <w:jc w:val="right"/>
            </w:pPr>
            <w:r>
              <w:t xml:space="preserve">2,615,920.99</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540,716.09</w:t>
            </w:r>
          </w:p>
        </w:tc>
        <w:tc>
          <w:tcPr/>
          <w:p>
            <w:pPr>
              <w:pStyle w:val="Compact"/>
              <w:jc w:val="right"/>
            </w:pPr>
            <w:r>
              <w:t xml:space="preserve">15,639.67</w:t>
            </w:r>
          </w:p>
        </w:tc>
        <w:tc>
          <w:tcPr/>
          <w:p>
            <w:pPr>
              <w:pStyle w:val="Compact"/>
              <w:jc w:val="right"/>
            </w:pPr>
            <w:r>
              <w:t xml:space="preserve">524,747.42</w:t>
            </w:r>
          </w:p>
        </w:tc>
        <w:tc>
          <w:tcPr/>
          <w:p>
            <w:pPr>
              <w:pStyle w:val="Compact"/>
              <w:jc w:val="right"/>
            </w:pPr>
            <w:r>
              <w:t xml:space="preserve">609,625.22</w:t>
            </w:r>
          </w:p>
        </w:tc>
        <w:tc>
          <w:tcPr/>
          <w:p>
            <w:pPr>
              <w:pStyle w:val="Compact"/>
              <w:jc w:val="right"/>
            </w:pPr>
            <w:r>
              <w:t xml:space="preserve">0.008</w:t>
            </w:r>
          </w:p>
        </w:tc>
      </w:tr>
      <w:tr>
        <w:tc>
          <w:tcPr/>
          <w:p>
            <w:pPr>
              <w:pStyle w:val="Compact"/>
            </w:pPr>
            <w:r>
              <w:t xml:space="preserve">Food share of consumption (%)</w:t>
            </w:r>
          </w:p>
        </w:tc>
        <w:tc>
          <w:tcPr/>
          <w:p>
            <w:pPr>
              <w:pStyle w:val="Compact"/>
              <w:jc w:val="right"/>
            </w:pPr>
            <w:r>
              <w:t xml:space="preserve">69.30</w:t>
            </w:r>
          </w:p>
        </w:tc>
        <w:tc>
          <w:tcPr/>
          <w:p>
            <w:pPr>
              <w:pStyle w:val="Compact"/>
              <w:jc w:val="right"/>
            </w:pPr>
            <w:r>
              <w:t xml:space="preserve">0.47</w:t>
            </w:r>
          </w:p>
        </w:tc>
        <w:tc>
          <w:tcPr/>
          <w:p>
            <w:pPr>
              <w:pStyle w:val="Compact"/>
              <w:jc w:val="right"/>
            </w:pPr>
            <w:r>
              <w:t xml:space="preserve">70.60</w:t>
            </w:r>
          </w:p>
        </w:tc>
        <w:tc>
          <w:tcPr/>
          <w:p>
            <w:pPr>
              <w:pStyle w:val="Compact"/>
              <w:jc w:val="right"/>
            </w:pPr>
            <w:r>
              <w:t xml:space="preserve">63.66</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4.86</w:t>
            </w:r>
          </w:p>
        </w:tc>
        <w:tc>
          <w:tcPr/>
          <w:p>
            <w:pPr>
              <w:pStyle w:val="Compact"/>
              <w:jc w:val="right"/>
            </w:pPr>
            <w:r>
              <w:t xml:space="preserve">0.19</w:t>
            </w:r>
          </w:p>
        </w:tc>
        <w:tc>
          <w:tcPr/>
          <w:p>
            <w:pPr>
              <w:pStyle w:val="Compact"/>
              <w:jc w:val="right"/>
            </w:pPr>
            <w:r>
              <w:t xml:space="preserve">5.00</w:t>
            </w:r>
          </w:p>
        </w:tc>
        <w:tc>
          <w:tcPr/>
          <w:p>
            <w:pPr>
              <w:pStyle w:val="Compact"/>
              <w:jc w:val="right"/>
            </w:pPr>
            <w:r>
              <w:t xml:space="preserve">4.23</w:t>
            </w:r>
          </w:p>
        </w:tc>
        <w:tc>
          <w:tcPr/>
          <w:p>
            <w:pPr>
              <w:pStyle w:val="Compact"/>
              <w:jc w:val="right"/>
            </w:pPr>
            <w:r>
              <w:t xml:space="preserve">0.050</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hospitalized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Any member holds health insurance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r>
        <w:tc>
          <w:tcPr/>
          <w:p>
            <w:pPr>
              <w:pStyle w:val="Compact"/>
            </w:pPr>
            <w:r>
              <w:t xml:space="preserve">Paid a health-insurance premium in past 12 months (%)</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0.94</w:t>
            </w:r>
          </w:p>
        </w:tc>
        <w:tc>
          <w:tcPr/>
          <w:p>
            <w:pPr>
              <w:pStyle w:val="Compact"/>
              <w:jc w:val="right"/>
            </w:pPr>
            <w:r>
              <w:t xml:space="preserve">0.064</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Uncalibrated rows use the rebuilt consumption aggregate without the wave-4 calibration. Zone and residence breakdowns are in Table A2.</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15.8</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14.8</w:t>
            </w:r>
          </w:p>
        </w:tc>
        <w:tc>
          <w:tcPr/>
          <w:p>
            <w:pPr>
              <w:pStyle w:val="Compact"/>
              <w:jc w:val="right"/>
            </w:pPr>
            <w:r>
              <w:t xml:space="preserve">13.4</w:t>
            </w:r>
          </w:p>
        </w:tc>
        <w:tc>
          <w:tcPr/>
          <w:p>
            <w:pPr>
              <w:pStyle w:val="Compact"/>
              <w:jc w:val="right"/>
            </w:pPr>
            <w:r>
              <w:t xml:space="preserve">16.3</w:t>
            </w:r>
          </w:p>
        </w:tc>
        <w:tc>
          <w:tcPr/>
          <w:p>
            <w:pPr>
              <w:pStyle w:val="Compact"/>
              <w:jc w:val="right"/>
            </w:pPr>
            <w:r>
              <w:t xml:space="preserve">11.0</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16.7</w:t>
            </w:r>
          </w:p>
        </w:tc>
        <w:tc>
          <w:tcPr/>
          <w:p>
            <w:pPr>
              <w:pStyle w:val="Compact"/>
              <w:jc w:val="right"/>
            </w:pPr>
            <w:r>
              <w:t xml:space="preserve">14.9</w:t>
            </w:r>
          </w:p>
        </w:tc>
        <w:tc>
          <w:tcPr/>
          <w:p>
            <w:pPr>
              <w:pStyle w:val="Compact"/>
              <w:jc w:val="right"/>
            </w:pPr>
            <w:r>
              <w:t xml:space="preserve">18.4</w:t>
            </w:r>
          </w:p>
        </w:tc>
        <w:tc>
          <w:tcPr/>
          <w:p>
            <w:pPr>
              <w:pStyle w:val="Compact"/>
            </w:pP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13.3</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14.4</w:t>
            </w:r>
          </w:p>
        </w:tc>
        <w:tc>
          <w:tcPr/>
          <w:p>
            <w:pPr>
              <w:pStyle w:val="Compact"/>
              <w:jc w:val="right"/>
            </w:pPr>
            <w:r>
              <w:t xml:space="preserve">12.6</w:t>
            </w:r>
          </w:p>
        </w:tc>
        <w:tc>
          <w:tcPr/>
          <w:p>
            <w:pPr>
              <w:pStyle w:val="Compact"/>
              <w:jc w:val="right"/>
            </w:pPr>
            <w:r>
              <w:t xml:space="preserve">16.1</w:t>
            </w:r>
          </w:p>
        </w:tc>
        <w:tc>
          <w:tcPr/>
          <w:p>
            <w:pPr>
              <w:pStyle w:val="Compact"/>
              <w:jc w:val="right"/>
            </w:pPr>
            <w:r>
              <w:t xml:space="preserve">10.5</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c>
          <w:tcPr/>
          <w:p>
            <w:pPr>
              <w:pStyle w:val="Compact"/>
              <w:jc w:val="right"/>
            </w:pPr>
            <w:r>
              <w:t xml:space="preserve">11.9</w:t>
            </w:r>
          </w:p>
        </w:tc>
        <w:tc>
          <w:tcPr/>
          <w:p>
            <w:pPr>
              <w:pStyle w:val="Compact"/>
              <w:jc w:val="right"/>
            </w:pPr>
            <w:r>
              <w:t xml:space="preserve">701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c>
          <w:tcPr/>
          <w:p>
            <w:pPr>
              <w:pStyle w:val="Compact"/>
              <w:jc w:val="right"/>
            </w:pPr>
            <w:r>
              <w:t xml:space="preserve">9.2</w:t>
            </w:r>
          </w:p>
        </w:tc>
        <w:tc>
          <w:tcPr/>
          <w:p>
            <w:pPr>
              <w:pStyle w:val="Compact"/>
              <w:jc w:val="right"/>
            </w:pPr>
            <w:r>
              <w:t xml:space="preserve">699</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c>
          <w:tcPr/>
          <w:p>
            <w:pPr>
              <w:pStyle w:val="Compact"/>
              <w:jc w:val="right"/>
            </w:pPr>
            <w:r>
              <w:t xml:space="preserve">7.1</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c>
          <w:tcPr/>
          <w:p>
            <w:pPr>
              <w:pStyle w:val="Compact"/>
              <w:jc w:val="right"/>
            </w:pPr>
            <w:r>
              <w:t xml:space="preserve">10.5</w:t>
            </w:r>
          </w:p>
        </w:tc>
        <w:tc>
          <w:tcPr/>
          <w:p>
            <w:pPr>
              <w:pStyle w:val="Compact"/>
              <w:jc w:val="right"/>
            </w:pPr>
            <w:r>
              <w:t xml:space="preserve">1,041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c>
          <w:tcPr/>
          <w:p>
            <w:pPr>
              <w:pStyle w:val="Compact"/>
              <w:jc w:val="right"/>
            </w:pPr>
            <w:r>
              <w:t xml:space="preserve">12.4</w:t>
            </w:r>
          </w:p>
        </w:tc>
        <w:tc>
          <w:tcPr/>
          <w:p>
            <w:pPr>
              <w:pStyle w:val="Compact"/>
              <w:jc w:val="right"/>
            </w:pPr>
            <w:r>
              <w:t xml:space="preserve">1,436</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10.4</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12.5</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4.6</w:t>
            </w:r>
          </w:p>
        </w:tc>
        <w:tc>
          <w:tcPr/>
          <w:p>
            <w:pPr>
              <w:pStyle w:val="Compact"/>
              <w:jc w:val="right"/>
            </w:pPr>
            <w:r>
              <w:t xml:space="preserve">3.6</w:t>
            </w:r>
          </w:p>
        </w:tc>
        <w:tc>
          <w:tcPr/>
          <w:p>
            <w:pPr>
              <w:pStyle w:val="Compact"/>
              <w:jc w:val="right"/>
            </w:pPr>
            <w:r>
              <w:t xml:space="preserve">5.7</w:t>
            </w:r>
          </w:p>
        </w:tc>
        <w:tc>
          <w:tcPr/>
          <w:p>
            <w:pPr>
              <w:pStyle w:val="Compact"/>
            </w:pP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2.5</w:t>
            </w:r>
          </w:p>
        </w:tc>
        <w:tc>
          <w:tcPr/>
          <w:p>
            <w:pPr>
              <w:pStyle w:val="Compact"/>
              <w:jc w:val="right"/>
            </w:pPr>
            <w:r>
              <w:t xml:space="preserve">0.7</w:t>
            </w:r>
          </w:p>
        </w:tc>
        <w:tc>
          <w:tcPr/>
          <w:p>
            <w:pPr>
              <w:pStyle w:val="Compact"/>
              <w:jc w:val="right"/>
            </w:pPr>
            <w:r>
              <w:t xml:space="preserve">4.3</w:t>
            </w:r>
          </w:p>
        </w:tc>
        <w:tc>
          <w:tcPr/>
          <w:p>
            <w:pPr>
              <w:pStyle w:val="Compact"/>
              <w:jc w:val="right"/>
            </w:pPr>
            <w:r>
              <w:t xml:space="preserve">7.8</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3.6</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10.8</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5.7</w:t>
            </w:r>
          </w:p>
        </w:tc>
        <w:tc>
          <w:tcPr/>
          <w:p>
            <w:pPr>
              <w:pStyle w:val="Compact"/>
              <w:jc w:val="right"/>
            </w:pPr>
            <w:r>
              <w:t xml:space="preserve">10.4</w:t>
            </w:r>
          </w:p>
        </w:tc>
        <w:tc>
          <w:tcPr/>
          <w:p>
            <w:pPr>
              <w:pStyle w:val="Compact"/>
              <w:jc w:val="right"/>
            </w:pPr>
            <w:r>
              <w:t xml:space="preserve">701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2.7</w:t>
            </w:r>
          </w:p>
        </w:tc>
        <w:tc>
          <w:tcPr/>
          <w:p>
            <w:pPr>
              <w:pStyle w:val="Compact"/>
              <w:jc w:val="right"/>
            </w:pPr>
            <w:r>
              <w:t xml:space="preserve">0.8</w:t>
            </w:r>
          </w:p>
        </w:tc>
        <w:tc>
          <w:tcPr/>
          <w:p>
            <w:pPr>
              <w:pStyle w:val="Compact"/>
              <w:jc w:val="right"/>
            </w:pPr>
            <w:r>
              <w:t xml:space="preserve">4.6</w:t>
            </w:r>
          </w:p>
        </w:tc>
        <w:tc>
          <w:tcPr/>
          <w:p>
            <w:pPr>
              <w:pStyle w:val="Compact"/>
              <w:jc w:val="right"/>
            </w:pPr>
            <w:r>
              <w:t xml:space="preserve">10.9</w:t>
            </w:r>
          </w:p>
        </w:tc>
        <w:tc>
          <w:tcPr/>
          <w:p>
            <w:pPr>
              <w:pStyle w:val="Compact"/>
              <w:jc w:val="right"/>
            </w:pPr>
            <w:r>
              <w:t xml:space="preserve">699</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1.9</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4.3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4.1</w:t>
            </w:r>
          </w:p>
        </w:tc>
        <w:tc>
          <w:tcPr/>
          <w:p>
            <w:pPr>
              <w:pStyle w:val="Compact"/>
              <w:jc w:val="right"/>
            </w:pPr>
            <w:r>
              <w:t xml:space="preserve">1.8</w:t>
            </w:r>
          </w:p>
        </w:tc>
        <w:tc>
          <w:tcPr/>
          <w:p>
            <w:pPr>
              <w:pStyle w:val="Compact"/>
              <w:jc w:val="right"/>
            </w:pPr>
            <w:r>
              <w:t xml:space="preserve">6.3</w:t>
            </w:r>
          </w:p>
        </w:tc>
        <w:tc>
          <w:tcPr/>
          <w:p>
            <w:pPr>
              <w:pStyle w:val="Compact"/>
              <w:jc w:val="right"/>
            </w:pPr>
            <w:r>
              <w:t xml:space="preserve">8.0</w:t>
            </w:r>
          </w:p>
        </w:tc>
        <w:tc>
          <w:tcPr/>
          <w:p>
            <w:pPr>
              <w:pStyle w:val="Compact"/>
              <w:jc w:val="right"/>
            </w:pPr>
            <w:r>
              <w:t xml:space="preserve">1,041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2.7</w:t>
            </w:r>
          </w:p>
        </w:tc>
        <w:tc>
          <w:tcPr/>
          <w:p>
            <w:pPr>
              <w:pStyle w:val="Compact"/>
              <w:jc w:val="right"/>
            </w:pPr>
            <w:r>
              <w:t xml:space="preserve">6.0</w:t>
            </w:r>
          </w:p>
        </w:tc>
        <w:tc>
          <w:tcPr/>
          <w:p>
            <w:pPr>
              <w:pStyle w:val="Compact"/>
              <w:jc w:val="right"/>
            </w:pPr>
            <w:r>
              <w:t xml:space="preserve">14.8</w:t>
            </w:r>
          </w:p>
        </w:tc>
        <w:tc>
          <w:tcPr/>
          <w:p>
            <w:pPr>
              <w:pStyle w:val="Compact"/>
              <w:jc w:val="right"/>
            </w:pPr>
            <w:r>
              <w:t xml:space="preserve">1,436</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0.8</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11.9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c>
          <w:tcPr/>
          <w:p>
            <w:pPr>
              <w:pStyle w:val="Compact"/>
              <w:jc w:val="right"/>
            </w:pPr>
            <w:r>
              <w:t xml:space="preserve">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0.9</w:t>
            </w:r>
          </w:p>
        </w:tc>
        <w:tc>
          <w:tcPr/>
          <w:p>
            <w:pPr>
              <w:pStyle w:val="Compact"/>
              <w:jc w:val="right"/>
            </w:pPr>
            <w:r>
              <w:t xml:space="preserve">0.6</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1.9</w:t>
            </w:r>
          </w:p>
        </w:tc>
        <w:tc>
          <w:tcPr/>
          <w:p>
            <w:pPr>
              <w:pStyle w:val="Compact"/>
              <w:jc w:val="right"/>
            </w:pPr>
            <w:r>
              <w:t xml:space="preserve">5.8</w:t>
            </w:r>
          </w:p>
        </w:tc>
        <w:tc>
          <w:tcPr/>
          <w:p>
            <w:pPr>
              <w:pStyle w:val="Compact"/>
              <w:jc w:val="right"/>
            </w:pPr>
            <w:r>
              <w:t xml:space="preserve">701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1.8</w:t>
            </w:r>
          </w:p>
        </w:tc>
        <w:tc>
          <w:tcPr/>
          <w:p>
            <w:pPr>
              <w:pStyle w:val="Compact"/>
              <w:jc w:val="right"/>
            </w:pPr>
            <w:r>
              <w:t xml:space="preserve">8.9</w:t>
            </w:r>
          </w:p>
        </w:tc>
        <w:tc>
          <w:tcPr/>
          <w:p>
            <w:pPr>
              <w:pStyle w:val="Compact"/>
              <w:jc w:val="right"/>
            </w:pPr>
            <w:r>
              <w:t xml:space="preserve">699</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2.6</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8.3</w:t>
            </w:r>
          </w:p>
        </w:tc>
        <w:tc>
          <w:tcPr/>
          <w:p>
            <w:pPr>
              <w:pStyle w:val="Compact"/>
              <w:jc w:val="right"/>
            </w:pPr>
            <w:r>
              <w:t xml:space="preserve">1,041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14.4</w:t>
            </w:r>
          </w:p>
        </w:tc>
        <w:tc>
          <w:tcPr/>
          <w:p>
            <w:pPr>
              <w:pStyle w:val="Compact"/>
              <w:jc w:val="right"/>
            </w:pPr>
            <w:r>
              <w:t xml:space="preserve">1,436</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7.9</w:t>
            </w:r>
          </w:p>
        </w:tc>
        <w:tc>
          <w:tcPr/>
          <w:p>
            <w:pPr>
              <w:pStyle w:val="Compact"/>
              <w:jc w:val="right"/>
            </w:pPr>
            <w:r>
              <w:t xml:space="preserve">6.7</w:t>
            </w:r>
          </w:p>
        </w:tc>
        <w:tc>
          <w:tcPr/>
          <w:p>
            <w:pPr>
              <w:pStyle w:val="Compact"/>
              <w:jc w:val="right"/>
            </w:pPr>
            <w:r>
              <w:t xml:space="preserve">9.1</w:t>
            </w:r>
          </w:p>
        </w:tc>
        <w:tc>
          <w:tcPr/>
          <w:p>
            <w:pPr>
              <w:pStyle w:val="Compact"/>
              <w:jc w:val="right"/>
            </w:pPr>
            <w:r>
              <w:t xml:space="preserve">15.1</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7.8</w:t>
            </w:r>
          </w:p>
        </w:tc>
        <w:tc>
          <w:tcPr/>
          <w:p>
            <w:pPr>
              <w:pStyle w:val="Compact"/>
              <w:jc w:val="right"/>
            </w:pPr>
            <w:r>
              <w:t xml:space="preserve">6.8</w:t>
            </w:r>
          </w:p>
        </w:tc>
        <w:tc>
          <w:tcPr/>
          <w:p>
            <w:pPr>
              <w:pStyle w:val="Compact"/>
              <w:jc w:val="right"/>
            </w:pPr>
            <w:r>
              <w:t xml:space="preserve">8.8</w:t>
            </w:r>
          </w:p>
        </w:tc>
        <w:tc>
          <w:tcPr/>
          <w:p>
            <w:pPr>
              <w:pStyle w:val="Compact"/>
              <w:jc w:val="right"/>
            </w:pPr>
            <w:r>
              <w:t xml:space="preserve">16.3</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9.8</w:t>
            </w:r>
          </w:p>
        </w:tc>
        <w:tc>
          <w:tcPr/>
          <w:p>
            <w:pPr>
              <w:pStyle w:val="Compact"/>
              <w:jc w:val="right"/>
            </w:pPr>
            <w:r>
              <w:t xml:space="preserve">12.8</w:t>
            </w:r>
          </w:p>
        </w:tc>
        <w:tc>
          <w:tcPr/>
          <w:p>
            <w:pPr>
              <w:pStyle w:val="Compact"/>
            </w:pP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7.1</w:t>
            </w:r>
          </w:p>
        </w:tc>
        <w:tc>
          <w:tcPr/>
          <w:p>
            <w:pPr>
              <w:pStyle w:val="Compact"/>
              <w:jc w:val="right"/>
            </w:pPr>
            <w:r>
              <w:t xml:space="preserve">13.2</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8.7</w:t>
            </w:r>
          </w:p>
        </w:tc>
        <w:tc>
          <w:tcPr/>
          <w:p>
            <w:pPr>
              <w:pStyle w:val="Compact"/>
              <w:jc w:val="right"/>
            </w:pPr>
            <w:r>
              <w:t xml:space="preserve">7.2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c>
          <w:tcPr/>
          <w:p>
            <w:pPr>
              <w:pStyle w:val="Compact"/>
              <w:jc w:val="right"/>
            </w:pPr>
            <w:r>
              <w:t xml:space="preserve">15.6</w:t>
            </w:r>
          </w:p>
        </w:tc>
        <w:tc>
          <w:tcPr/>
          <w:p>
            <w:pPr>
              <w:pStyle w:val="Compact"/>
              <w:jc w:val="right"/>
            </w:pPr>
            <w:r>
              <w:t xml:space="preserve">701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699</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c>
          <w:tcPr/>
          <w:p>
            <w:pPr>
              <w:pStyle w:val="Compact"/>
              <w:jc w:val="right"/>
            </w:pPr>
            <w:r>
              <w:t xml:space="preserve">12.5</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13.7</w:t>
            </w:r>
          </w:p>
        </w:tc>
        <w:tc>
          <w:tcPr/>
          <w:p>
            <w:pPr>
              <w:pStyle w:val="Compact"/>
              <w:jc w:val="right"/>
            </w:pPr>
            <w:r>
              <w:t xml:space="preserve">1,041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c>
          <w:tcPr/>
          <w:p>
            <w:pPr>
              <w:pStyle w:val="Compact"/>
              <w:jc w:val="right"/>
            </w:pPr>
            <w:r>
              <w:t xml:space="preserve">20.1</w:t>
            </w:r>
          </w:p>
        </w:tc>
        <w:tc>
          <w:tcPr/>
          <w:p>
            <w:pPr>
              <w:pStyle w:val="Compact"/>
              <w:jc w:val="right"/>
            </w:pPr>
            <w:r>
              <w:t xml:space="preserve">1,436</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0.141</w:t>
            </w:r>
          </w:p>
        </w:tc>
        <w:tc>
          <w:tcPr/>
          <w:p>
            <w:pPr>
              <w:pStyle w:val="Compact"/>
              <w:jc w:val="right"/>
            </w:pPr>
            <w:r>
              <w:t xml:space="preserve">0.040</w:t>
            </w:r>
          </w:p>
        </w:tc>
        <w:tc>
          <w:tcPr/>
          <w:p>
            <w:pPr>
              <w:pStyle w:val="Compact"/>
              <w:jc w:val="right"/>
            </w:pPr>
            <w:r>
              <w:t xml:space="preserve">-0.018</w:t>
            </w:r>
          </w:p>
        </w:tc>
        <w:tc>
          <w:tcPr/>
          <w:p>
            <w:pPr>
              <w:pStyle w:val="Compact"/>
              <w:jc w:val="right"/>
            </w:pPr>
            <w:r>
              <w:t xml:space="preserve">0.098</w:t>
            </w:r>
          </w:p>
        </w:tc>
        <w:tc>
          <w:tcPr/>
          <w:p>
            <w:pPr>
              <w:pStyle w:val="Compact"/>
              <w:jc w:val="right"/>
            </w:pPr>
            <w:r>
              <w:t xml:space="preserve">0.023</w:t>
            </w:r>
          </w:p>
        </w:tc>
        <w:tc>
          <w:tcPr/>
          <w:p>
            <w:pPr>
              <w:pStyle w:val="Compact"/>
              <w:jc w:val="right"/>
            </w:pPr>
            <w:r>
              <w:t xml:space="preserve">0.017</w:t>
            </w:r>
          </w:p>
        </w:tc>
      </w:tr>
      <w:tr>
        <w:tc>
          <w:tcPr/>
          <w:p>
            <w:pPr>
              <w:pStyle w:val="Compact"/>
            </w:pPr>
            <w:r>
              <w:t xml:space="preserve">CHE, budget share &gt; 25%</w:t>
            </w:r>
          </w:p>
        </w:tc>
        <w:tc>
          <w:tcPr/>
          <w:p>
            <w:pPr>
              <w:pStyle w:val="Compact"/>
              <w:jc w:val="right"/>
            </w:pPr>
            <w:r>
              <w:t xml:space="preserve">0.034</w:t>
            </w:r>
          </w:p>
        </w:tc>
        <w:tc>
          <w:tcPr/>
          <w:p>
            <w:pPr>
              <w:pStyle w:val="Compact"/>
              <w:jc w:val="right"/>
            </w:pPr>
            <w:r>
              <w:t xml:space="preserve">0.065</w:t>
            </w:r>
          </w:p>
        </w:tc>
        <w:tc>
          <w:tcPr/>
          <w:p>
            <w:pPr>
              <w:pStyle w:val="Compact"/>
              <w:jc w:val="right"/>
            </w:pPr>
            <w:r>
              <w:t xml:space="preserve">-0.088</w:t>
            </w:r>
          </w:p>
        </w:tc>
        <w:tc>
          <w:tcPr/>
          <w:p>
            <w:pPr>
              <w:pStyle w:val="Compact"/>
              <w:jc w:val="right"/>
            </w:pPr>
            <w:r>
              <w:t xml:space="preserve">0.218</w:t>
            </w:r>
          </w:p>
        </w:tc>
        <w:tc>
          <w:tcPr/>
          <w:p>
            <w:pPr>
              <w:pStyle w:val="Compact"/>
              <w:jc w:val="right"/>
            </w:pPr>
            <w:r>
              <w:t xml:space="preserve">0.009</w:t>
            </w:r>
          </w:p>
        </w:tc>
        <w:tc>
          <w:tcPr/>
          <w:p>
            <w:pPr>
              <w:pStyle w:val="Compact"/>
              <w:jc w:val="right"/>
            </w:pPr>
            <w:r>
              <w:t xml:space="preserve">0.010</w:t>
            </w:r>
          </w:p>
        </w:tc>
      </w:tr>
      <w:tr>
        <w:tc>
          <w:tcPr/>
          <w:p>
            <w:pPr>
              <w:pStyle w:val="Compact"/>
            </w:pPr>
            <w:r>
              <w:t xml:space="preserve">CHE, capacity to pay &gt;= 40%</w:t>
            </w:r>
          </w:p>
        </w:tc>
        <w:tc>
          <w:tcPr/>
          <w:p>
            <w:pPr>
              <w:pStyle w:val="Compact"/>
              <w:jc w:val="right"/>
            </w:pPr>
            <w:r>
              <w:t xml:space="preserve">0.079</w:t>
            </w:r>
          </w:p>
        </w:tc>
        <w:tc>
          <w:tcPr/>
          <w:p>
            <w:pPr>
              <w:pStyle w:val="Compact"/>
              <w:jc w:val="right"/>
            </w:pPr>
            <w:r>
              <w:t xml:space="preserve">-0.150</w:t>
            </w:r>
          </w:p>
        </w:tc>
        <w:tc>
          <w:tcPr/>
          <w:p>
            <w:pPr>
              <w:pStyle w:val="Compact"/>
              <w:jc w:val="right"/>
            </w:pPr>
            <w:r>
              <w:t xml:space="preserve">-0.223</w:t>
            </w:r>
          </w:p>
        </w:tc>
        <w:tc>
          <w:tcPr/>
          <w:p>
            <w:pPr>
              <w:pStyle w:val="Compact"/>
              <w:jc w:val="right"/>
            </w:pPr>
            <w:r>
              <w:t xml:space="preserve">-0.077</w:t>
            </w:r>
          </w:p>
        </w:tc>
        <w:tc>
          <w:tcPr/>
          <w:p>
            <w:pPr>
              <w:pStyle w:val="Compact"/>
              <w:jc w:val="right"/>
            </w:pPr>
            <w:r>
              <w:t xml:space="preserve">-0.047</w:t>
            </w:r>
          </w:p>
        </w:tc>
        <w:tc>
          <w:tcPr/>
          <w:p>
            <w:pPr>
              <w:pStyle w:val="Compact"/>
              <w:jc w:val="right"/>
            </w:pPr>
            <w:r>
              <w:t xml:space="preserve">0.013</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0.032</w:t>
            </w:r>
          </w:p>
        </w:tc>
        <w:tc>
          <w:tcPr/>
          <w:p>
            <w:pPr>
              <w:pStyle w:val="Compact"/>
              <w:jc w:val="right"/>
            </w:pPr>
            <w:r>
              <w:t xml:space="preserve">-0.013</w:t>
            </w:r>
          </w:p>
        </w:tc>
        <w:tc>
          <w:tcPr/>
          <w:p>
            <w:pPr>
              <w:pStyle w:val="Compact"/>
              <w:jc w:val="right"/>
            </w:pPr>
            <w:r>
              <w:t xml:space="preserve">0.077</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0.010</w:t>
            </w:r>
          </w:p>
        </w:tc>
        <w:tc>
          <w:tcPr/>
          <w:p>
            <w:pPr>
              <w:pStyle w:val="Compact"/>
              <w:jc w:val="right"/>
            </w:pPr>
            <w:r>
              <w:t xml:space="preserve">-0.025</w:t>
            </w:r>
          </w:p>
        </w:tc>
        <w:tc>
          <w:tcPr/>
          <w:p>
            <w:pPr>
              <w:pStyle w:val="Compact"/>
              <w:jc w:val="right"/>
            </w:pPr>
            <w:r>
              <w:t xml:space="preserve">0.027</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14.4</w:t>
            </w:r>
          </w:p>
        </w:tc>
        <w:tc>
          <w:tcPr/>
          <w:p>
            <w:pPr>
              <w:pStyle w:val="Compact"/>
              <w:jc w:val="right"/>
            </w:pPr>
            <w:r>
              <w:t xml:space="preserve">0.9</w:t>
            </w:r>
          </w:p>
        </w:tc>
        <w:tc>
          <w:tcPr/>
          <w:p>
            <w:pPr>
              <w:pStyle w:val="Compact"/>
              <w:jc w:val="right"/>
            </w:pPr>
            <w:r>
              <w:t xml:space="preserve">13.3</w:t>
            </w:r>
          </w:p>
        </w:tc>
        <w:tc>
          <w:tcPr/>
          <w:p>
            <w:pPr>
              <w:pStyle w:val="Compact"/>
              <w:jc w:val="right"/>
            </w:pPr>
            <w:r>
              <w:t xml:space="preserve">1.7</w:t>
            </w:r>
          </w:p>
        </w:tc>
        <w:tc>
          <w:tcPr/>
          <w:p>
            <w:pPr>
              <w:pStyle w:val="Compact"/>
              <w:jc w:val="right"/>
            </w:pPr>
            <w:r>
              <w:t xml:space="preserve">1.1</w:t>
            </w:r>
          </w:p>
        </w:tc>
        <w:tc>
          <w:tcPr/>
          <w:p>
            <w:pPr>
              <w:pStyle w:val="Compact"/>
              <w:jc w:val="right"/>
            </w:pPr>
            <w:r>
              <w:t xml:space="preserve">0.591</w:t>
            </w:r>
          </w:p>
        </w:tc>
      </w:tr>
      <w:tr>
        <w:tc>
          <w:tcPr/>
          <w:p>
            <w:pPr>
              <w:pStyle w:val="Compact"/>
            </w:pPr>
            <w:r>
              <w:t xml:space="preserve">CHE &gt; 25%</w:t>
            </w:r>
          </w:p>
        </w:tc>
        <w:tc>
          <w:tcPr/>
          <w:p>
            <w:pPr>
              <w:pStyle w:val="Compact"/>
              <w:jc w:val="right"/>
            </w:pPr>
            <w:r>
              <w:t xml:space="preserve">3.6</w:t>
            </w:r>
          </w:p>
        </w:tc>
        <w:tc>
          <w:tcPr/>
          <w:p>
            <w:pPr>
              <w:pStyle w:val="Compact"/>
              <w:jc w:val="right"/>
            </w:pPr>
            <w:r>
              <w:t xml:space="preserve">0.5</w:t>
            </w:r>
          </w:p>
        </w:tc>
        <w:tc>
          <w:tcPr/>
          <w:p>
            <w:pPr>
              <w:pStyle w:val="Compact"/>
              <w:jc w:val="right"/>
            </w:pPr>
            <w:r>
              <w:t xml:space="preserve">2.5</w:t>
            </w:r>
          </w:p>
        </w:tc>
        <w:tc>
          <w:tcPr/>
          <w:p>
            <w:pPr>
              <w:pStyle w:val="Compact"/>
              <w:jc w:val="right"/>
            </w:pPr>
            <w:r>
              <w:t xml:space="preserve">0.9</w:t>
            </w:r>
          </w:p>
        </w:tc>
        <w:tc>
          <w:tcPr/>
          <w:p>
            <w:pPr>
              <w:pStyle w:val="Compact"/>
              <w:jc w:val="right"/>
            </w:pPr>
            <w:r>
              <w:t xml:space="preserve">1.1</w:t>
            </w:r>
          </w:p>
        </w:tc>
        <w:tc>
          <w:tcPr/>
          <w:p>
            <w:pPr>
              <w:pStyle w:val="Compact"/>
              <w:jc w:val="right"/>
            </w:pPr>
            <w:r>
              <w:t xml:space="preserve">0.303</w:t>
            </w:r>
          </w:p>
        </w:tc>
      </w:tr>
      <w:tr>
        <w:tc>
          <w:tcPr/>
          <w:p>
            <w:pPr>
              <w:pStyle w:val="Compact"/>
            </w:pPr>
            <w:r>
              <w:t xml:space="preserve">CHE, CTP &gt;= 40%</w:t>
            </w:r>
          </w:p>
        </w:tc>
        <w:tc>
          <w:tcPr/>
          <w:p>
            <w:pPr>
              <w:pStyle w:val="Compact"/>
              <w:jc w:val="right"/>
            </w:pPr>
            <w:r>
              <w:t xml:space="preserve">8.7</w:t>
            </w:r>
          </w:p>
        </w:tc>
        <w:tc>
          <w:tcPr/>
          <w:p>
            <w:pPr>
              <w:pStyle w:val="Compact"/>
              <w:jc w:val="right"/>
            </w:pPr>
            <w:r>
              <w:t xml:space="preserve">0.7</w:t>
            </w:r>
          </w:p>
        </w:tc>
        <w:tc>
          <w:tcPr/>
          <w:p>
            <w:pPr>
              <w:pStyle w:val="Compact"/>
              <w:jc w:val="right"/>
            </w:pPr>
            <w:r>
              <w:t xml:space="preserve">4.8</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0.005</w:t>
            </w:r>
          </w:p>
        </w:tc>
      </w:tr>
      <w:tr>
        <w:tc>
          <w:tcPr/>
          <w:p>
            <w:pPr>
              <w:pStyle w:val="Compact"/>
            </w:pPr>
            <w:r>
              <w:t xml:space="preserve">OOP share of consumption</w:t>
            </w:r>
          </w:p>
        </w:tc>
        <w:tc>
          <w:tcPr/>
          <w:p>
            <w:pPr>
              <w:pStyle w:val="Compact"/>
              <w:jc w:val="right"/>
            </w:pPr>
            <w:r>
              <w:t xml:space="preserve">4.8</w:t>
            </w:r>
          </w:p>
        </w:tc>
        <w:tc>
          <w:tcPr/>
          <w:p>
            <w:pPr>
              <w:pStyle w:val="Compact"/>
              <w:jc w:val="right"/>
            </w:pPr>
            <w:r>
              <w:t xml:space="preserve">0.2</w:t>
            </w:r>
          </w:p>
        </w:tc>
        <w:tc>
          <w:tcPr/>
          <w:p>
            <w:pPr>
              <w:pStyle w:val="Compact"/>
              <w:jc w:val="right"/>
            </w:pPr>
            <w:r>
              <w:t xml:space="preserve">4.6</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0.536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0.571</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0.401</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0.486</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0.007</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0.026</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0.107</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A5).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23,296</w:t>
            </w:r>
          </w:p>
        </w:tc>
        <w:tc>
          <w:tcPr/>
          <w:p>
            <w:pPr>
              <w:pStyle w:val="Compact"/>
              <w:jc w:val="right"/>
            </w:pPr>
            <w:r>
              <w:t xml:space="preserve">6,808</w:t>
            </w:r>
          </w:p>
        </w:tc>
      </w:tr>
      <w:tr>
        <w:tc>
          <w:tcPr/>
          <w:p>
            <w:pPr>
              <w:pStyle w:val="Compact"/>
            </w:pPr>
            <w:r>
              <w:t xml:space="preserve">less member co-payment on drugs (10%)</w:t>
            </w:r>
          </w:p>
        </w:tc>
        <w:tc>
          <w:tcPr/>
          <w:p>
            <w:pPr>
              <w:pStyle w:val="Compact"/>
              <w:jc w:val="right"/>
            </w:pPr>
            <w:r>
              <w:t xml:space="preserve">21,459</w:t>
            </w:r>
          </w:p>
        </w:tc>
        <w:tc>
          <w:tcPr/>
          <w:p>
            <w:pPr>
              <w:pStyle w:val="Compact"/>
              <w:jc w:val="right"/>
            </w:pPr>
            <w:r>
              <w:t xml:space="preserve">-1,837</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21,459</w:t>
            </w:r>
          </w:p>
        </w:tc>
        <w:tc>
          <w:tcPr/>
          <w:p>
            <w:pPr>
              <w:pStyle w:val="Compact"/>
              <w:jc w:val="right"/>
            </w:pPr>
            <w:r>
              <w:t xml:space="preserve">81</w:t>
            </w:r>
          </w:p>
        </w:tc>
        <w:tc>
          <w:tcPr/>
          <w:p>
            <w:pPr>
              <w:pStyle w:val="Compact"/>
              <w:jc w:val="right"/>
            </w:pPr>
            <w:r>
              <w:t xml:space="preserve">3,231</w:t>
            </w:r>
          </w:p>
        </w:tc>
        <w:tc>
          <w:tcPr/>
          <w:p>
            <w:pPr>
              <w:pStyle w:val="Compact"/>
              <w:jc w:val="right"/>
            </w:pPr>
            <w:r>
              <w:t xml:space="preserve">2,477</w:t>
            </w:r>
          </w:p>
        </w:tc>
        <w:tc>
          <w:tcPr/>
          <w:p>
            <w:pPr>
              <w:pStyle w:val="Compact"/>
              <w:jc w:val="right"/>
            </w:pPr>
            <w:r>
              <w:t xml:space="preserve">27,247</w:t>
            </w:r>
          </w:p>
        </w:tc>
      </w:tr>
      <w:tr>
        <w:tc>
          <w:tcPr/>
          <w:p>
            <w:pPr>
              <w:pStyle w:val="Compact"/>
            </w:pPr>
            <w:r>
              <w:t xml:space="preserve">CVaR 95%</w:t>
            </w:r>
          </w:p>
        </w:tc>
        <w:tc>
          <w:tcPr/>
          <w:p>
            <w:pPr>
              <w:pStyle w:val="Compact"/>
              <w:jc w:val="right"/>
            </w:pPr>
            <w:r>
              <w:t xml:space="preserve">21,459</w:t>
            </w:r>
          </w:p>
        </w:tc>
        <w:tc>
          <w:tcPr/>
          <w:p>
            <w:pPr>
              <w:pStyle w:val="Compact"/>
              <w:jc w:val="right"/>
            </w:pPr>
            <w:r>
              <w:t xml:space="preserve">1,812</w:t>
            </w:r>
          </w:p>
        </w:tc>
        <w:tc>
          <w:tcPr/>
          <w:p>
            <w:pPr>
              <w:pStyle w:val="Compact"/>
              <w:jc w:val="right"/>
            </w:pPr>
            <w:r>
              <w:t xml:space="preserve">3,491</w:t>
            </w:r>
          </w:p>
        </w:tc>
        <w:tc>
          <w:tcPr/>
          <w:p>
            <w:pPr>
              <w:pStyle w:val="Compact"/>
              <w:jc w:val="right"/>
            </w:pPr>
            <w:r>
              <w:t xml:space="preserve">2,676</w:t>
            </w:r>
          </w:p>
        </w:tc>
        <w:tc>
          <w:tcPr/>
          <w:p>
            <w:pPr>
              <w:pStyle w:val="Compact"/>
              <w:jc w:val="right"/>
            </w:pPr>
            <w:r>
              <w:t xml:space="preserve">29,437</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119,503</w:t>
            </w:r>
          </w:p>
        </w:tc>
        <w:tc>
          <w:tcPr/>
          <w:p>
            <w:pPr>
              <w:pStyle w:val="Compact"/>
              <w:jc w:val="right"/>
            </w:pPr>
            <w:r>
              <w:t xml:space="preserve">8.2</w:t>
            </w:r>
          </w:p>
        </w:tc>
        <w:tc>
          <w:tcPr/>
          <w:p>
            <w:pPr>
              <w:pStyle w:val="Compact"/>
              <w:jc w:val="right"/>
            </w:pPr>
            <w:r>
              <w:t xml:space="preserve">22.8</w:t>
            </w:r>
          </w:p>
        </w:tc>
        <w:tc>
          <w:tcPr/>
          <w:p>
            <w:pPr>
              <w:pStyle w:val="Compact"/>
              <w:jc w:val="right"/>
            </w:pPr>
            <w:r>
              <w:t xml:space="preserve">222,993</w:t>
            </w:r>
          </w:p>
        </w:tc>
      </w:tr>
      <w:tr>
        <w:tc>
          <w:tcPr/>
          <w:p>
            <w:pPr>
              <w:pStyle w:val="Compact"/>
            </w:pPr>
            <w:r>
              <w:t xml:space="preserve">Q2</w:t>
            </w:r>
          </w:p>
        </w:tc>
        <w:tc>
          <w:tcPr/>
          <w:p>
            <w:pPr>
              <w:pStyle w:val="Compact"/>
              <w:jc w:val="right"/>
            </w:pPr>
            <w:r>
              <w:t xml:space="preserve">203,279</w:t>
            </w:r>
          </w:p>
        </w:tc>
        <w:tc>
          <w:tcPr/>
          <w:p>
            <w:pPr>
              <w:pStyle w:val="Compact"/>
              <w:jc w:val="right"/>
            </w:pPr>
            <w:r>
              <w:t xml:space="preserve">7.6</w:t>
            </w:r>
          </w:p>
        </w:tc>
        <w:tc>
          <w:tcPr/>
          <w:p>
            <w:pPr>
              <w:pStyle w:val="Compact"/>
              <w:jc w:val="right"/>
            </w:pPr>
            <w:r>
              <w:t xml:space="preserve">13.4</w:t>
            </w:r>
          </w:p>
        </w:tc>
        <w:tc>
          <w:tcPr/>
          <w:p>
            <w:pPr>
              <w:pStyle w:val="Compact"/>
              <w:jc w:val="right"/>
            </w:pPr>
            <w:r>
              <w:t xml:space="preserve">206,162</w:t>
            </w:r>
          </w:p>
        </w:tc>
      </w:tr>
      <w:tr>
        <w:tc>
          <w:tcPr/>
          <w:p>
            <w:pPr>
              <w:pStyle w:val="Compact"/>
            </w:pPr>
            <w:r>
              <w:t xml:space="preserve">Q3</w:t>
            </w:r>
          </w:p>
        </w:tc>
        <w:tc>
          <w:tcPr/>
          <w:p>
            <w:pPr>
              <w:pStyle w:val="Compact"/>
              <w:jc w:val="right"/>
            </w:pPr>
            <w:r>
              <w:t xml:space="preserve">280,983</w:t>
            </w:r>
          </w:p>
        </w:tc>
        <w:tc>
          <w:tcPr/>
          <w:p>
            <w:pPr>
              <w:pStyle w:val="Compact"/>
              <w:jc w:val="right"/>
            </w:pPr>
            <w:r>
              <w:t xml:space="preserve">6.0</w:t>
            </w:r>
          </w:p>
        </w:tc>
        <w:tc>
          <w:tcPr/>
          <w:p>
            <w:pPr>
              <w:pStyle w:val="Compact"/>
              <w:jc w:val="right"/>
            </w:pPr>
            <w:r>
              <w:t xml:space="preserve">9.7</w:t>
            </w:r>
          </w:p>
        </w:tc>
        <w:tc>
          <w:tcPr/>
          <w:p>
            <w:pPr>
              <w:pStyle w:val="Compact"/>
              <w:jc w:val="right"/>
            </w:pPr>
            <w:r>
              <w:t xml:space="preserve">164,381</w:t>
            </w:r>
          </w:p>
        </w:tc>
      </w:tr>
      <w:tr>
        <w:tc>
          <w:tcPr/>
          <w:p>
            <w:pPr>
              <w:pStyle w:val="Compact"/>
            </w:pPr>
            <w:r>
              <w:t xml:space="preserve">Q4</w:t>
            </w:r>
          </w:p>
        </w:tc>
        <w:tc>
          <w:tcPr/>
          <w:p>
            <w:pPr>
              <w:pStyle w:val="Compact"/>
              <w:jc w:val="right"/>
            </w:pPr>
            <w:r>
              <w:t xml:space="preserve">412,333</w:t>
            </w:r>
          </w:p>
        </w:tc>
        <w:tc>
          <w:tcPr/>
          <w:p>
            <w:pPr>
              <w:pStyle w:val="Compact"/>
              <w:jc w:val="right"/>
            </w:pPr>
            <w:r>
              <w:t xml:space="preserve">4.7</w:t>
            </w:r>
          </w:p>
        </w:tc>
        <w:tc>
          <w:tcPr/>
          <w:p>
            <w:pPr>
              <w:pStyle w:val="Compact"/>
              <w:jc w:val="right"/>
            </w:pPr>
            <w:r>
              <w:t xml:space="preserve">6.6</w:t>
            </w:r>
          </w:p>
        </w:tc>
        <w:tc>
          <w:tcPr/>
          <w:p>
            <w:pPr>
              <w:pStyle w:val="Compact"/>
              <w:jc w:val="right"/>
            </w:pPr>
            <w:r>
              <w:t xml:space="preserve">129,121</w:t>
            </w:r>
          </w:p>
        </w:tc>
      </w:tr>
      <w:tr>
        <w:tc>
          <w:tcPr/>
          <w:p>
            <w:pPr>
              <w:pStyle w:val="Compact"/>
            </w:pPr>
            <w:r>
              <w:t xml:space="preserve">Q5 (richest)</w:t>
            </w:r>
          </w:p>
        </w:tc>
        <w:tc>
          <w:tcPr/>
          <w:p>
            <w:pPr>
              <w:pStyle w:val="Compact"/>
              <w:jc w:val="right"/>
            </w:pPr>
            <w:r>
              <w:t xml:space="preserve">895,288</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82,823</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359,726</w:t>
            </w:r>
          </w:p>
        </w:tc>
        <w:tc>
          <w:tcPr/>
          <w:p>
            <w:pPr>
              <w:pStyle w:val="Compact"/>
              <w:jc w:val="right"/>
            </w:pPr>
            <w:r>
              <w:t xml:space="preserve">17,986</w:t>
            </w:r>
          </w:p>
        </w:tc>
      </w:tr>
      <w:tr>
        <w:tc>
          <w:tcPr/>
          <w:p>
            <w:pPr>
              <w:pStyle w:val="Compact"/>
            </w:pPr>
            <w:r>
              <w:t xml:space="preserve">Informal, quintile 1</w:t>
            </w:r>
          </w:p>
        </w:tc>
        <w:tc>
          <w:tcPr/>
          <w:p>
            <w:pPr>
              <w:pStyle w:val="Compact"/>
              <w:jc w:val="right"/>
            </w:pPr>
            <w:r>
              <w:t xml:space="preserve">118,923</w:t>
            </w:r>
          </w:p>
        </w:tc>
        <w:tc>
          <w:tcPr/>
          <w:p>
            <w:pPr>
              <w:pStyle w:val="Compact"/>
              <w:jc w:val="right"/>
            </w:pPr>
            <w:r>
              <w:t xml:space="preserve">5,946</w:t>
            </w:r>
          </w:p>
        </w:tc>
      </w:tr>
      <w:tr>
        <w:tc>
          <w:tcPr/>
          <w:p>
            <w:pPr>
              <w:pStyle w:val="Compact"/>
            </w:pPr>
            <w:r>
              <w:t xml:space="preserve">Informal, quintile 2</w:t>
            </w:r>
          </w:p>
        </w:tc>
        <w:tc>
          <w:tcPr/>
          <w:p>
            <w:pPr>
              <w:pStyle w:val="Compact"/>
              <w:jc w:val="right"/>
            </w:pPr>
            <w:r>
              <w:t xml:space="preserve">202,745</w:t>
            </w:r>
          </w:p>
        </w:tc>
        <w:tc>
          <w:tcPr/>
          <w:p>
            <w:pPr>
              <w:pStyle w:val="Compact"/>
              <w:jc w:val="right"/>
            </w:pPr>
            <w:r>
              <w:t xml:space="preserve">10,137</w:t>
            </w:r>
          </w:p>
        </w:tc>
      </w:tr>
      <w:tr>
        <w:tc>
          <w:tcPr/>
          <w:p>
            <w:pPr>
              <w:pStyle w:val="Compact"/>
            </w:pPr>
            <w:r>
              <w:t xml:space="preserve">Informal, quintile 3</w:t>
            </w:r>
          </w:p>
        </w:tc>
        <w:tc>
          <w:tcPr/>
          <w:p>
            <w:pPr>
              <w:pStyle w:val="Compact"/>
              <w:jc w:val="right"/>
            </w:pPr>
            <w:r>
              <w:t xml:space="preserve">279,669</w:t>
            </w:r>
          </w:p>
        </w:tc>
        <w:tc>
          <w:tcPr/>
          <w:p>
            <w:pPr>
              <w:pStyle w:val="Compact"/>
              <w:jc w:val="right"/>
            </w:pPr>
            <w:r>
              <w:t xml:space="preserve">13,983</w:t>
            </w:r>
          </w:p>
        </w:tc>
      </w:tr>
      <w:tr>
        <w:tc>
          <w:tcPr/>
          <w:p>
            <w:pPr>
              <w:pStyle w:val="Compact"/>
            </w:pPr>
            <w:r>
              <w:t xml:space="preserve">Informal, quintile 4</w:t>
            </w:r>
          </w:p>
        </w:tc>
        <w:tc>
          <w:tcPr/>
          <w:p>
            <w:pPr>
              <w:pStyle w:val="Compact"/>
              <w:jc w:val="right"/>
            </w:pPr>
            <w:r>
              <w:t xml:space="preserve">410,435</w:t>
            </w:r>
          </w:p>
        </w:tc>
        <w:tc>
          <w:tcPr/>
          <w:p>
            <w:pPr>
              <w:pStyle w:val="Compact"/>
              <w:jc w:val="right"/>
            </w:pPr>
            <w:r>
              <w:t xml:space="preserve">20,522</w:t>
            </w:r>
          </w:p>
        </w:tc>
      </w:tr>
      <w:tr>
        <w:tc>
          <w:tcPr/>
          <w:p>
            <w:pPr>
              <w:pStyle w:val="Compact"/>
            </w:pPr>
            <w:r>
              <w:t xml:space="preserve">Informal, quintile 5</w:t>
            </w:r>
          </w:p>
        </w:tc>
        <w:tc>
          <w:tcPr/>
          <w:p>
            <w:pPr>
              <w:pStyle w:val="Compact"/>
              <w:jc w:val="right"/>
            </w:pPr>
            <w:r>
              <w:t xml:space="preserve">888,378</w:t>
            </w:r>
          </w:p>
        </w:tc>
        <w:tc>
          <w:tcPr/>
          <w:p>
            <w:pPr>
              <w:pStyle w:val="Compact"/>
              <w:jc w:val="right"/>
            </w:pPr>
            <w:r>
              <w:t xml:space="preserve">44,419</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36,637</w:t>
            </w:r>
          </w:p>
        </w:tc>
        <w:tc>
          <w:tcPr/>
          <w:p>
            <w:pPr>
              <w:pStyle w:val="Compact"/>
              <w:jc w:val="right"/>
            </w:pPr>
            <w:r>
              <w:t xml:space="preserve">134</w:t>
            </w:r>
          </w:p>
        </w:tc>
        <w:tc>
          <w:tcPr/>
          <w:p>
            <w:pPr>
              <w:pStyle w:val="Compact"/>
              <w:jc w:val="right"/>
            </w:pPr>
            <w:r>
              <w:t xml:space="preserve">3.66</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34,581</w:t>
            </w:r>
          </w:p>
        </w:tc>
        <w:tc>
          <w:tcPr/>
          <w:p>
            <w:pPr>
              <w:pStyle w:val="Compact"/>
              <w:jc w:val="right"/>
            </w:pPr>
            <w:r>
              <w:t xml:space="preserve">127</w:t>
            </w:r>
          </w:p>
        </w:tc>
        <w:tc>
          <w:tcPr/>
          <w:p>
            <w:pPr>
              <w:pStyle w:val="Compact"/>
              <w:jc w:val="right"/>
            </w:pPr>
            <w:r>
              <w:t xml:space="preserve">3.46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18,553</w:t>
            </w:r>
          </w:p>
        </w:tc>
        <w:tc>
          <w:tcPr/>
          <w:p>
            <w:pPr>
              <w:pStyle w:val="Compact"/>
              <w:jc w:val="right"/>
            </w:pPr>
            <w:r>
              <w:t xml:space="preserve">68</w:t>
            </w:r>
          </w:p>
        </w:tc>
        <w:tc>
          <w:tcPr/>
          <w:p>
            <w:pPr>
              <w:pStyle w:val="Compact"/>
              <w:jc w:val="right"/>
            </w:pPr>
            <w:r>
              <w:t xml:space="preserve">1.86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17,083</w:t>
            </w:r>
          </w:p>
        </w:tc>
        <w:tc>
          <w:tcPr/>
          <w:p>
            <w:pPr>
              <w:pStyle w:val="Compact"/>
              <w:jc w:val="right"/>
            </w:pPr>
            <w:r>
              <w:t xml:space="preserve">63</w:t>
            </w:r>
          </w:p>
        </w:tc>
        <w:tc>
          <w:tcPr/>
          <w:p>
            <w:pPr>
              <w:pStyle w:val="Compact"/>
              <w:jc w:val="right"/>
            </w:pPr>
            <w:r>
              <w:t xml:space="preserve">1.71</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57,024</w:t>
            </w:r>
          </w:p>
        </w:tc>
        <w:tc>
          <w:tcPr/>
          <w:p>
            <w:pPr>
              <w:pStyle w:val="Compact"/>
              <w:jc w:val="right"/>
            </w:pPr>
            <w:r>
              <w:t xml:space="preserve">209</w:t>
            </w:r>
          </w:p>
        </w:tc>
        <w:tc>
          <w:tcPr/>
          <w:p>
            <w:pPr>
              <w:pStyle w:val="Compact"/>
              <w:jc w:val="right"/>
            </w:pPr>
            <w:r>
              <w:t xml:space="preserve">5.70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54,360</w:t>
            </w:r>
          </w:p>
        </w:tc>
        <w:tc>
          <w:tcPr/>
          <w:p>
            <w:pPr>
              <w:pStyle w:val="Compact"/>
              <w:jc w:val="right"/>
            </w:pPr>
            <w:r>
              <w:t xml:space="preserve">200</w:t>
            </w:r>
          </w:p>
        </w:tc>
        <w:tc>
          <w:tcPr/>
          <w:p>
            <w:pPr>
              <w:pStyle w:val="Compact"/>
              <w:jc w:val="right"/>
            </w:pPr>
            <w:r>
              <w:t xml:space="preserve">5.44</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33,122</w:t>
            </w:r>
          </w:p>
        </w:tc>
        <w:tc>
          <w:tcPr/>
          <w:p>
            <w:pPr>
              <w:pStyle w:val="Compact"/>
              <w:jc w:val="right"/>
            </w:pPr>
            <w:r>
              <w:t xml:space="preserve">122</w:t>
            </w:r>
          </w:p>
        </w:tc>
        <w:tc>
          <w:tcPr/>
          <w:p>
            <w:pPr>
              <w:pStyle w:val="Compact"/>
              <w:jc w:val="right"/>
            </w:pPr>
            <w:r>
              <w:t xml:space="preserve">3.31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32,205</w:t>
            </w:r>
          </w:p>
        </w:tc>
        <w:tc>
          <w:tcPr/>
          <w:p>
            <w:pPr>
              <w:pStyle w:val="Compact"/>
              <w:jc w:val="right"/>
            </w:pPr>
            <w:r>
              <w:t xml:space="preserve">118</w:t>
            </w:r>
          </w:p>
        </w:tc>
        <w:tc>
          <w:tcPr/>
          <w:p>
            <w:pPr>
              <w:pStyle w:val="Compact"/>
              <w:jc w:val="right"/>
            </w:pPr>
            <w:r>
              <w:t xml:space="preserve">3.22</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16,019</w:t>
            </w:r>
          </w:p>
        </w:tc>
        <w:tc>
          <w:tcPr/>
          <w:p>
            <w:pPr>
              <w:pStyle w:val="Compact"/>
              <w:jc w:val="right"/>
            </w:pPr>
            <w:r>
              <w:t xml:space="preserve">59</w:t>
            </w:r>
          </w:p>
        </w:tc>
        <w:tc>
          <w:tcPr/>
          <w:p>
            <w:pPr>
              <w:pStyle w:val="Compact"/>
              <w:jc w:val="right"/>
            </w:pPr>
            <w:r>
              <w:t xml:space="preserve">1.60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15,339</w:t>
            </w:r>
          </w:p>
        </w:tc>
        <w:tc>
          <w:tcPr/>
          <w:p>
            <w:pPr>
              <w:pStyle w:val="Compact"/>
              <w:jc w:val="right"/>
            </w:pPr>
            <w:r>
              <w:t xml:space="preserve">56</w:t>
            </w:r>
          </w:p>
        </w:tc>
        <w:tc>
          <w:tcPr/>
          <w:p>
            <w:pPr>
              <w:pStyle w:val="Compact"/>
              <w:jc w:val="right"/>
            </w:pPr>
            <w:r>
              <w:t xml:space="preserve">1.53</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52,559</w:t>
            </w:r>
          </w:p>
        </w:tc>
        <w:tc>
          <w:tcPr/>
          <w:p>
            <w:pPr>
              <w:pStyle w:val="Compact"/>
              <w:jc w:val="right"/>
            </w:pPr>
            <w:r>
              <w:t xml:space="preserve">193</w:t>
            </w:r>
          </w:p>
        </w:tc>
        <w:tc>
          <w:tcPr/>
          <w:p>
            <w:pPr>
              <w:pStyle w:val="Compact"/>
              <w:jc w:val="right"/>
            </w:pPr>
            <w:r>
              <w:t xml:space="preserve">5.26</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51,401</w:t>
            </w:r>
          </w:p>
        </w:tc>
        <w:tc>
          <w:tcPr/>
          <w:p>
            <w:pPr>
              <w:pStyle w:val="Compact"/>
              <w:jc w:val="right"/>
            </w:pPr>
            <w:r>
              <w:t xml:space="preserve">189</w:t>
            </w:r>
          </w:p>
        </w:tc>
        <w:tc>
          <w:tcPr/>
          <w:p>
            <w:pPr>
              <w:pStyle w:val="Compact"/>
              <w:jc w:val="right"/>
            </w:pPr>
            <w:r>
              <w:t xml:space="preserve">5.14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31,371</w:t>
            </w:r>
          </w:p>
        </w:tc>
        <w:tc>
          <w:tcPr/>
          <w:p>
            <w:pPr>
              <w:pStyle w:val="Compact"/>
              <w:jc w:val="right"/>
            </w:pPr>
            <w:r>
              <w:t xml:space="preserve">115</w:t>
            </w:r>
          </w:p>
        </w:tc>
        <w:tc>
          <w:tcPr/>
          <w:p>
            <w:pPr>
              <w:pStyle w:val="Compact"/>
              <w:jc w:val="right"/>
            </w:pPr>
            <w:r>
              <w:t xml:space="preserve">3.14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30,945</w:t>
            </w:r>
          </w:p>
        </w:tc>
        <w:tc>
          <w:tcPr/>
          <w:p>
            <w:pPr>
              <w:pStyle w:val="Compact"/>
              <w:jc w:val="right"/>
            </w:pPr>
            <w:r>
              <w:t xml:space="preserve">114</w:t>
            </w:r>
          </w:p>
        </w:tc>
        <w:tc>
          <w:tcPr/>
          <w:p>
            <w:pPr>
              <w:pStyle w:val="Compact"/>
              <w:jc w:val="right"/>
            </w:pPr>
            <w:r>
              <w:t xml:space="preserve">3.09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14,700</w:t>
            </w:r>
          </w:p>
        </w:tc>
        <w:tc>
          <w:tcPr/>
          <w:p>
            <w:pPr>
              <w:pStyle w:val="Compact"/>
              <w:jc w:val="right"/>
            </w:pPr>
            <w:r>
              <w:t xml:space="preserve">54</w:t>
            </w:r>
          </w:p>
        </w:tc>
        <w:tc>
          <w:tcPr/>
          <w:p>
            <w:pPr>
              <w:pStyle w:val="Compact"/>
              <w:jc w:val="right"/>
            </w:pPr>
            <w:r>
              <w:t xml:space="preserve">1.47</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14,408</w:t>
            </w:r>
          </w:p>
        </w:tc>
        <w:tc>
          <w:tcPr/>
          <w:p>
            <w:pPr>
              <w:pStyle w:val="Compact"/>
              <w:jc w:val="right"/>
            </w:pPr>
            <w:r>
              <w:t xml:space="preserve">53</w:t>
            </w:r>
          </w:p>
        </w:tc>
        <w:tc>
          <w:tcPr/>
          <w:p>
            <w:pPr>
              <w:pStyle w:val="Compact"/>
              <w:jc w:val="right"/>
            </w:pPr>
            <w:r>
              <w:t xml:space="preserve">1.44</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50,300</w:t>
            </w:r>
          </w:p>
        </w:tc>
        <w:tc>
          <w:tcPr/>
          <w:p>
            <w:pPr>
              <w:pStyle w:val="Compact"/>
              <w:jc w:val="right"/>
            </w:pPr>
            <w:r>
              <w:t xml:space="preserve">185</w:t>
            </w:r>
          </w:p>
        </w:tc>
        <w:tc>
          <w:tcPr/>
          <w:p>
            <w:pPr>
              <w:pStyle w:val="Compact"/>
              <w:jc w:val="right"/>
            </w:pPr>
            <w:r>
              <w:t xml:space="preserve">5.03</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49,819</w:t>
            </w:r>
          </w:p>
        </w:tc>
        <w:tc>
          <w:tcPr/>
          <w:p>
            <w:pPr>
              <w:pStyle w:val="Compact"/>
              <w:jc w:val="right"/>
            </w:pPr>
            <w:r>
              <w:t xml:space="preserve">183</w:t>
            </w:r>
          </w:p>
        </w:tc>
        <w:tc>
          <w:tcPr/>
          <w:p>
            <w:pPr>
              <w:pStyle w:val="Compact"/>
              <w:jc w:val="right"/>
            </w:pPr>
            <w:r>
              <w:t xml:space="preserve">4.98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35,951</w:t>
            </w:r>
          </w:p>
        </w:tc>
        <w:tc>
          <w:tcPr/>
          <w:p>
            <w:pPr>
              <w:pStyle w:val="Compact"/>
              <w:jc w:val="right"/>
            </w:pPr>
            <w:r>
              <w:t xml:space="preserve">68</w:t>
            </w:r>
          </w:p>
        </w:tc>
        <w:tc>
          <w:tcPr/>
          <w:p>
            <w:pPr>
              <w:pStyle w:val="Compact"/>
              <w:jc w:val="right"/>
            </w:pPr>
            <w:r>
              <w:t xml:space="preserve">32,233</w:t>
            </w:r>
          </w:p>
        </w:tc>
        <w:tc>
          <w:tcPr/>
          <w:p>
            <w:pPr>
              <w:pStyle w:val="Compact"/>
              <w:jc w:val="right"/>
            </w:pPr>
            <w:r>
              <w:t xml:space="preserve">118</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35,938</w:t>
            </w:r>
          </w:p>
        </w:tc>
        <w:tc>
          <w:tcPr/>
          <w:p>
            <w:pPr>
              <w:pStyle w:val="Compact"/>
              <w:jc w:val="right"/>
            </w:pPr>
            <w:r>
              <w:t xml:space="preserve">68</w:t>
            </w:r>
          </w:p>
        </w:tc>
        <w:tc>
          <w:tcPr/>
          <w:p>
            <w:pPr>
              <w:pStyle w:val="Compact"/>
              <w:jc w:val="right"/>
            </w:pPr>
            <w:r>
              <w:t xml:space="preserve">32,308</w:t>
            </w:r>
          </w:p>
        </w:tc>
        <w:tc>
          <w:tcPr/>
          <w:p>
            <w:pPr>
              <w:pStyle w:val="Compact"/>
              <w:jc w:val="right"/>
            </w:pPr>
            <w:r>
              <w:t xml:space="preserve">119</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31,904</w:t>
            </w:r>
          </w:p>
        </w:tc>
        <w:tc>
          <w:tcPr/>
          <w:p>
            <w:pPr>
              <w:pStyle w:val="Compact"/>
              <w:jc w:val="right"/>
            </w:pPr>
            <w:r>
              <w:t xml:space="preserve">49</w:t>
            </w:r>
          </w:p>
        </w:tc>
        <w:tc>
          <w:tcPr/>
          <w:p>
            <w:pPr>
              <w:pStyle w:val="Compact"/>
              <w:jc w:val="right"/>
            </w:pPr>
            <w:r>
              <w:t xml:space="preserve">27,612</w:t>
            </w:r>
          </w:p>
        </w:tc>
        <w:tc>
          <w:tcPr/>
          <w:p>
            <w:pPr>
              <w:pStyle w:val="Compact"/>
              <w:jc w:val="right"/>
            </w:pPr>
            <w:r>
              <w:t xml:space="preserve">101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26,198</w:t>
            </w:r>
          </w:p>
        </w:tc>
        <w:tc>
          <w:tcPr/>
          <w:p>
            <w:pPr>
              <w:pStyle w:val="Compact"/>
              <w:jc w:val="right"/>
            </w:pPr>
            <w:r>
              <w:t xml:space="preserve">23</w:t>
            </w:r>
          </w:p>
        </w:tc>
        <w:tc>
          <w:tcPr/>
          <w:p>
            <w:pPr>
              <w:pStyle w:val="Compact"/>
              <w:jc w:val="right"/>
            </w:pPr>
            <w:r>
              <w:t xml:space="preserve">20,992</w:t>
            </w:r>
          </w:p>
        </w:tc>
        <w:tc>
          <w:tcPr/>
          <w:p>
            <w:pPr>
              <w:pStyle w:val="Compact"/>
              <w:jc w:val="right"/>
            </w:pPr>
            <w:r>
              <w:t xml:space="preserve">77</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52,716</w:t>
            </w:r>
          </w:p>
        </w:tc>
        <w:tc>
          <w:tcPr/>
          <w:p>
            <w:pPr>
              <w:pStyle w:val="Compact"/>
              <w:jc w:val="right"/>
            </w:pPr>
            <w:r>
              <w:t xml:space="preserve">147</w:t>
            </w:r>
          </w:p>
        </w:tc>
        <w:tc>
          <w:tcPr/>
          <w:p>
            <w:pPr>
              <w:pStyle w:val="Compact"/>
              <w:jc w:val="right"/>
            </w:pPr>
            <w:r>
              <w:t xml:space="preserve">51,486</w:t>
            </w:r>
          </w:p>
        </w:tc>
        <w:tc>
          <w:tcPr/>
          <w:p>
            <w:pPr>
              <w:pStyle w:val="Compact"/>
              <w:jc w:val="right"/>
            </w:pPr>
            <w:r>
              <w:t xml:space="preserve">189</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45,208</w:t>
            </w:r>
          </w:p>
        </w:tc>
        <w:tc>
          <w:tcPr/>
          <w:p>
            <w:pPr>
              <w:pStyle w:val="Compact"/>
              <w:jc w:val="right"/>
            </w:pPr>
            <w:r>
              <w:t xml:space="preserve">112</w:t>
            </w:r>
          </w:p>
        </w:tc>
        <w:tc>
          <w:tcPr/>
          <w:p>
            <w:pPr>
              <w:pStyle w:val="Compact"/>
              <w:jc w:val="right"/>
            </w:pPr>
            <w:r>
              <w:t xml:space="preserve">42,790</w:t>
            </w:r>
          </w:p>
        </w:tc>
        <w:tc>
          <w:tcPr/>
          <w:p>
            <w:pPr>
              <w:pStyle w:val="Compact"/>
              <w:jc w:val="right"/>
            </w:pPr>
            <w:r>
              <w:t xml:space="preserve">157</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34,168</w:t>
            </w:r>
          </w:p>
        </w:tc>
        <w:tc>
          <w:tcPr/>
          <w:p>
            <w:pPr>
              <w:pStyle w:val="Compact"/>
              <w:jc w:val="right"/>
            </w:pPr>
            <w:r>
              <w:t xml:space="preserve">60</w:t>
            </w:r>
          </w:p>
        </w:tc>
        <w:tc>
          <w:tcPr/>
          <w:p>
            <w:pPr>
              <w:pStyle w:val="Compact"/>
              <w:jc w:val="right"/>
            </w:pPr>
            <w:r>
              <w:t xml:space="preserve">30,197</w:t>
            </w:r>
          </w:p>
        </w:tc>
        <w:tc>
          <w:tcPr/>
          <w:p>
            <w:pPr>
              <w:pStyle w:val="Compact"/>
              <w:jc w:val="right"/>
            </w:pPr>
            <w:r>
              <w:t xml:space="preserve">111</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26,540</w:t>
            </w:r>
          </w:p>
        </w:tc>
        <w:tc>
          <w:tcPr/>
          <w:p>
            <w:pPr>
              <w:pStyle w:val="Compact"/>
              <w:jc w:val="right"/>
            </w:pPr>
            <w:r>
              <w:t xml:space="preserve">24</w:t>
            </w:r>
          </w:p>
        </w:tc>
        <w:tc>
          <w:tcPr/>
          <w:p>
            <w:pPr>
              <w:pStyle w:val="Compact"/>
              <w:jc w:val="right"/>
            </w:pPr>
            <w:r>
              <w:t xml:space="preserve">21,351</w:t>
            </w:r>
          </w:p>
        </w:tc>
        <w:tc>
          <w:tcPr/>
          <w:p>
            <w:pPr>
              <w:pStyle w:val="Compact"/>
              <w:jc w:val="right"/>
            </w:pPr>
            <w:r>
              <w:t xml:space="preserve">78</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10,022</w:t>
            </w:r>
          </w:p>
        </w:tc>
        <w:tc>
          <w:tcPr/>
          <w:p>
            <w:pPr>
              <w:pStyle w:val="Compact"/>
              <w:jc w:val="right"/>
            </w:pPr>
            <w:r>
              <w:t xml:space="preserve">21,342</w:t>
            </w:r>
          </w:p>
        </w:tc>
        <w:tc>
          <w:tcPr/>
          <w:p>
            <w:pPr>
              <w:pStyle w:val="Compact"/>
              <w:jc w:val="right"/>
            </w:pPr>
            <w:r>
              <w:t xml:space="preserve">15,339</w:t>
            </w:r>
          </w:p>
        </w:tc>
        <w:tc>
          <w:tcPr/>
          <w:p>
            <w:pPr>
              <w:pStyle w:val="Compact"/>
              <w:jc w:val="right"/>
            </w:pPr>
            <w:r>
              <w:t xml:space="preserve">60%</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10,022</w:t>
            </w:r>
          </w:p>
        </w:tc>
        <w:tc>
          <w:tcPr/>
          <w:p>
            <w:pPr>
              <w:pStyle w:val="Compact"/>
              <w:jc w:val="right"/>
            </w:pPr>
            <w:r>
              <w:t xml:space="preserve">52,718</w:t>
            </w:r>
          </w:p>
        </w:tc>
        <w:tc>
          <w:tcPr/>
          <w:p>
            <w:pPr>
              <w:pStyle w:val="Compact"/>
              <w:jc w:val="right"/>
            </w:pPr>
            <w:r>
              <w:t xml:space="preserve">51,401</w:t>
            </w:r>
          </w:p>
        </w:tc>
        <w:tc>
          <w:tcPr/>
          <w:p>
            <w:pPr>
              <w:pStyle w:val="Compact"/>
              <w:jc w:val="right"/>
            </w:pPr>
            <w:r>
              <w:t xml:space="preserve">84%</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17,986</w:t>
            </w:r>
          </w:p>
        </w:tc>
        <w:tc>
          <w:tcPr/>
          <w:p>
            <w:pPr>
              <w:pStyle w:val="Compact"/>
              <w:jc w:val="right"/>
            </w:pPr>
            <w:r>
              <w:t xml:space="preserve">21,342</w:t>
            </w:r>
          </w:p>
        </w:tc>
        <w:tc>
          <w:tcPr/>
          <w:p>
            <w:pPr>
              <w:pStyle w:val="Compact"/>
              <w:jc w:val="right"/>
            </w:pPr>
            <w:r>
              <w:t xml:space="preserve">7,375</w:t>
            </w:r>
          </w:p>
        </w:tc>
        <w:tc>
          <w:tcPr/>
          <w:p>
            <w:pPr>
              <w:pStyle w:val="Compact"/>
              <w:jc w:val="right"/>
            </w:pPr>
            <w:r>
              <w:t xml:space="preserve">29%</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26,055</w:t>
            </w:r>
          </w:p>
        </w:tc>
        <w:tc>
          <w:tcPr/>
          <w:p>
            <w:pPr>
              <w:pStyle w:val="Compact"/>
              <w:jc w:val="right"/>
            </w:pPr>
            <w:r>
              <w:t xml:space="preserve">52,718</w:t>
            </w:r>
          </w:p>
        </w:tc>
        <w:tc>
          <w:tcPr/>
          <w:p>
            <w:pPr>
              <w:pStyle w:val="Compact"/>
              <w:jc w:val="right"/>
            </w:pPr>
            <w:r>
              <w:t xml:space="preserve">35,369</w:t>
            </w:r>
          </w:p>
        </w:tc>
        <w:tc>
          <w:tcPr/>
          <w:p>
            <w:pPr>
              <w:pStyle w:val="Compact"/>
              <w:jc w:val="right"/>
            </w:pPr>
            <w:r>
              <w:t xml:space="preserve">58%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14,529</w:t>
            </w:r>
          </w:p>
        </w:tc>
        <w:tc>
          <w:tcPr/>
          <w:p>
            <w:pPr>
              <w:pStyle w:val="Compact"/>
              <w:jc w:val="right"/>
            </w:pPr>
            <w:r>
              <w:t xml:space="preserve">21,342</w:t>
            </w:r>
          </w:p>
        </w:tc>
        <w:tc>
          <w:tcPr/>
          <w:p>
            <w:pPr>
              <w:pStyle w:val="Compact"/>
              <w:jc w:val="right"/>
            </w:pPr>
            <w:r>
              <w:t xml:space="preserve">10,831</w:t>
            </w:r>
          </w:p>
        </w:tc>
        <w:tc>
          <w:tcPr/>
          <w:p>
            <w:pPr>
              <w:pStyle w:val="Compact"/>
              <w:jc w:val="right"/>
            </w:pPr>
            <w:r>
              <w:t xml:space="preserve">43%</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24,108</w:t>
            </w:r>
          </w:p>
        </w:tc>
        <w:tc>
          <w:tcPr/>
          <w:p>
            <w:pPr>
              <w:pStyle w:val="Compact"/>
              <w:jc w:val="right"/>
            </w:pPr>
            <w:r>
              <w:t xml:space="preserve">52,718</w:t>
            </w:r>
          </w:p>
        </w:tc>
        <w:tc>
          <w:tcPr/>
          <w:p>
            <w:pPr>
              <w:pStyle w:val="Compact"/>
              <w:jc w:val="right"/>
            </w:pPr>
            <w:r>
              <w:t xml:space="preserve">37,315</w:t>
            </w:r>
          </w:p>
        </w:tc>
        <w:tc>
          <w:tcPr/>
          <w:p>
            <w:pPr>
              <w:pStyle w:val="Compact"/>
              <w:jc w:val="right"/>
            </w:pPr>
            <w:r>
              <w:t xml:space="preserve">61%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850</w:t>
            </w:r>
          </w:p>
        </w:tc>
        <w:tc>
          <w:tcPr/>
          <w:p>
            <w:pPr>
              <w:pStyle w:val="Compact"/>
              <w:jc w:val="right"/>
            </w:pPr>
            <w:r>
              <w:t xml:space="preserve">23,426</w:t>
            </w:r>
          </w:p>
        </w:tc>
        <w:tc>
          <w:tcPr/>
          <w:p>
            <w:pPr>
              <w:pStyle w:val="Compact"/>
              <w:jc w:val="right"/>
            </w:pPr>
            <w:r>
              <w:t xml:space="preserve">15,334</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8,260</w:t>
            </w:r>
          </w:p>
        </w:tc>
        <w:tc>
          <w:tcPr/>
          <w:p>
            <w:pPr>
              <w:pStyle w:val="Compact"/>
              <w:jc w:val="right"/>
            </w:pPr>
            <w:r>
              <w:t xml:space="preserve">315</w:t>
            </w:r>
          </w:p>
        </w:tc>
        <w:tc>
          <w:tcPr/>
          <w:p>
            <w:pPr>
              <w:pStyle w:val="Compact"/>
              <w:jc w:val="right"/>
            </w:pPr>
            <w:r>
              <w:t xml:space="preserve">23,950</w:t>
            </w:r>
          </w:p>
        </w:tc>
        <w:tc>
          <w:tcPr/>
          <w:p>
            <w:pPr>
              <w:pStyle w:val="Compact"/>
              <w:jc w:val="right"/>
            </w:pPr>
            <w:r>
              <w:t xml:space="preserve">16,399</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4,812</w:t>
            </w:r>
          </w:p>
        </w:tc>
        <w:tc>
          <w:tcPr/>
          <w:p>
            <w:pPr>
              <w:pStyle w:val="Compact"/>
              <w:jc w:val="right"/>
            </w:pPr>
            <w:r>
              <w:t xml:space="preserve">427</w:t>
            </w:r>
          </w:p>
        </w:tc>
        <w:tc>
          <w:tcPr/>
          <w:p>
            <w:pPr>
              <w:pStyle w:val="Compact"/>
              <w:jc w:val="right"/>
            </w:pPr>
            <w:r>
              <w:t xml:space="preserve">23,468</w:t>
            </w:r>
          </w:p>
        </w:tc>
        <w:tc>
          <w:tcPr/>
          <w:p>
            <w:pPr>
              <w:pStyle w:val="Compact"/>
              <w:jc w:val="right"/>
            </w:pPr>
            <w:r>
              <w:t xml:space="preserve">15,726</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2,654</w:t>
            </w:r>
          </w:p>
        </w:tc>
        <w:tc>
          <w:tcPr/>
          <w:p>
            <w:pPr>
              <w:pStyle w:val="Compact"/>
              <w:jc w:val="right"/>
            </w:pPr>
            <w:r>
              <w:t xml:space="preserve">554</w:t>
            </w:r>
          </w:p>
        </w:tc>
        <w:tc>
          <w:tcPr/>
          <w:p>
            <w:pPr>
              <w:pStyle w:val="Compact"/>
              <w:jc w:val="right"/>
            </w:pPr>
            <w:r>
              <w:t xml:space="preserve">23,240</w:t>
            </w:r>
          </w:p>
        </w:tc>
        <w:tc>
          <w:tcPr/>
          <w:p>
            <w:pPr>
              <w:pStyle w:val="Compact"/>
              <w:jc w:val="right"/>
            </w:pPr>
            <w:r>
              <w:t xml:space="preserve">15,403</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1,477</w:t>
            </w:r>
          </w:p>
        </w:tc>
        <w:tc>
          <w:tcPr/>
          <w:p>
            <w:pPr>
              <w:pStyle w:val="Compact"/>
              <w:jc w:val="right"/>
            </w:pPr>
            <w:r>
              <w:t xml:space="preserve">56,201</w:t>
            </w:r>
          </w:p>
        </w:tc>
        <w:tc>
          <w:tcPr/>
          <w:p>
            <w:pPr>
              <w:pStyle w:val="Compact"/>
              <w:jc w:val="right"/>
            </w:pPr>
            <w:r>
              <w:t xml:space="preserve">51,388</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28,937</w:t>
            </w:r>
          </w:p>
        </w:tc>
        <w:tc>
          <w:tcPr/>
          <w:p>
            <w:pPr>
              <w:pStyle w:val="Compact"/>
              <w:jc w:val="right"/>
            </w:pPr>
            <w:r>
              <w:t xml:space="preserve">475</w:t>
            </w:r>
          </w:p>
        </w:tc>
        <w:tc>
          <w:tcPr/>
          <w:p>
            <w:pPr>
              <w:pStyle w:val="Compact"/>
              <w:jc w:val="right"/>
            </w:pPr>
            <w:r>
              <w:t xml:space="preserve">60,494</w:t>
            </w:r>
          </w:p>
        </w:tc>
        <w:tc>
          <w:tcPr/>
          <w:p>
            <w:pPr>
              <w:pStyle w:val="Compact"/>
              <w:jc w:val="right"/>
            </w:pPr>
            <w:r>
              <w:t xml:space="preserve">56,853</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17,322</w:t>
            </w:r>
          </w:p>
        </w:tc>
        <w:tc>
          <w:tcPr/>
          <w:p>
            <w:pPr>
              <w:pStyle w:val="Compact"/>
              <w:jc w:val="right"/>
            </w:pPr>
            <w:r>
              <w:t xml:space="preserve">717</w:t>
            </w:r>
          </w:p>
        </w:tc>
        <w:tc>
          <w:tcPr/>
          <w:p>
            <w:pPr>
              <w:pStyle w:val="Compact"/>
              <w:jc w:val="right"/>
            </w:pPr>
            <w:r>
              <w:t xml:space="preserve">58,369</w:t>
            </w:r>
          </w:p>
        </w:tc>
        <w:tc>
          <w:tcPr/>
          <w:p>
            <w:pPr>
              <w:pStyle w:val="Compact"/>
              <w:jc w:val="right"/>
            </w:pPr>
            <w:r>
              <w:t xml:space="preserve">54,312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8,671</w:t>
            </w:r>
          </w:p>
        </w:tc>
        <w:tc>
          <w:tcPr/>
          <w:p>
            <w:pPr>
              <w:pStyle w:val="Compact"/>
              <w:jc w:val="right"/>
            </w:pPr>
            <w:r>
              <w:t xml:space="preserve">981</w:t>
            </w:r>
          </w:p>
        </w:tc>
        <w:tc>
          <w:tcPr/>
          <w:p>
            <w:pPr>
              <w:pStyle w:val="Compact"/>
              <w:jc w:val="right"/>
            </w:pPr>
            <w:r>
              <w:t xml:space="preserve">57,091</w:t>
            </w:r>
          </w:p>
        </w:tc>
        <w:tc>
          <w:tcPr/>
          <w:p>
            <w:pPr>
              <w:pStyle w:val="Compact"/>
              <w:jc w:val="right"/>
            </w:pPr>
            <w:r>
              <w:t xml:space="preserve">52,585</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9.3</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4.4</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0.9</w:t>
            </w:r>
          </w:p>
        </w:tc>
        <w:tc>
          <w:tcPr/>
          <w:p>
            <w:pPr>
              <w:pStyle w:val="Compact"/>
              <w:jc w:val="right"/>
            </w:pPr>
            <w:r>
              <w:t xml:space="preserve">0.5</w:t>
            </w:r>
          </w:p>
        </w:tc>
        <w:tc>
          <w:tcPr/>
          <w:p>
            <w:pPr>
              <w:pStyle w:val="Compact"/>
              <w:jc w:val="right"/>
            </w:pPr>
            <w:r>
              <w:t xml:space="preserve">0.086</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0.731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4.1</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1.5</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11.5</w:t>
            </w:r>
          </w:p>
        </w:tc>
        <w:tc>
          <w:tcPr/>
          <w:p>
            <w:pPr>
              <w:pStyle w:val="Compact"/>
              <w:jc w:val="right"/>
            </w:pPr>
            <w:r>
              <w:t xml:space="preserve">2.6</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8.4</w:t>
            </w:r>
          </w:p>
        </w:tc>
        <w:tc>
          <w:tcPr/>
          <w:p>
            <w:pPr>
              <w:pStyle w:val="Compact"/>
              <w:jc w:val="right"/>
            </w:pPr>
            <w:r>
              <w:t xml:space="preserve">-0.5</w:t>
            </w:r>
          </w:p>
        </w:tc>
        <w:tc>
          <w:tcPr/>
          <w:p>
            <w:pPr>
              <w:pStyle w:val="Compact"/>
              <w:jc w:val="right"/>
            </w:pPr>
            <w:r>
              <w:t xml:space="preserve">0.7</w:t>
            </w:r>
          </w:p>
        </w:tc>
        <w:tc>
          <w:tcPr/>
          <w:p>
            <w:pPr>
              <w:pStyle w:val="Compact"/>
              <w:jc w:val="right"/>
            </w:pPr>
            <w:r>
              <w:t xml:space="preserve">0.468</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4.2</w:t>
            </w:r>
          </w:p>
        </w:tc>
        <w:tc>
          <w:tcPr/>
          <w:p>
            <w:pPr>
              <w:pStyle w:val="Compact"/>
              <w:jc w:val="right"/>
            </w:pPr>
            <w:r>
              <w:t xml:space="preserve">9.9</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1.4</w:t>
            </w:r>
          </w:p>
        </w:tc>
        <w:tc>
          <w:tcPr/>
          <w:p>
            <w:pPr>
              <w:pStyle w:val="Compact"/>
              <w:jc w:val="right"/>
            </w:pPr>
            <w:r>
              <w:t xml:space="preserve">6.5</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5.7</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6.3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7.6</w:t>
            </w:r>
          </w:p>
        </w:tc>
        <w:tc>
          <w:tcPr/>
          <w:p>
            <w:pPr>
              <w:pStyle w:val="Compact"/>
              <w:jc w:val="right"/>
            </w:pPr>
            <w:r>
              <w:t xml:space="preserve">6.6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2.5</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0.5</w:t>
            </w:r>
          </w:p>
        </w:tc>
        <w:tc>
          <w:tcPr/>
          <w:p>
            <w:pPr>
              <w:pStyle w:val="Compact"/>
              <w:jc w:val="right"/>
            </w:pPr>
            <w:r>
              <w:t xml:space="preserve">7.4</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7.9</w:t>
            </w:r>
          </w:p>
        </w:tc>
        <w:tc>
          <w:tcPr/>
          <w:p>
            <w:pPr>
              <w:pStyle w:val="Compact"/>
              <w:jc w:val="right"/>
            </w:pPr>
            <w:r>
              <w:t xml:space="preserve">-0.0</w:t>
            </w:r>
          </w:p>
        </w:tc>
        <w:tc>
          <w:tcPr/>
          <w:p>
            <w:pPr>
              <w:pStyle w:val="Compact"/>
              <w:jc w:val="right"/>
            </w:pPr>
            <w:r>
              <w:t xml:space="preserve">0.9</w:t>
            </w:r>
          </w:p>
        </w:tc>
        <w:tc>
          <w:tcPr/>
          <w:p>
            <w:pPr>
              <w:pStyle w:val="Compact"/>
              <w:jc w:val="right"/>
            </w:pPr>
            <w:r>
              <w:t xml:space="preserve">0.979</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x13, independent 4-week windows (no persistence)</w:t>
            </w:r>
          </w:p>
        </w:tc>
        <w:tc>
          <w:tcPr/>
          <w:p>
            <w:pPr>
              <w:pStyle w:val="Compact"/>
              <w:jc w:val="right"/>
            </w:pPr>
            <w:r>
              <w:t xml:space="preserve">6.7</w:t>
            </w:r>
          </w:p>
        </w:tc>
        <w:tc>
          <w:tcPr/>
          <w:p>
            <w:pPr>
              <w:pStyle w:val="Compact"/>
              <w:jc w:val="right"/>
            </w:pPr>
            <w:r>
              <w:t xml:space="preserve">3.3</w:t>
            </w:r>
          </w:p>
        </w:tc>
        <w:tc>
          <w:tcPr/>
          <w:p>
            <w:pPr>
              <w:pStyle w:val="Compact"/>
              <w:jc w:val="right"/>
            </w:pPr>
            <w:r>
              <w:t xml:space="preserve">21,793</w:t>
            </w:r>
          </w:p>
        </w:tc>
        <w:tc>
          <w:tcPr/>
          <w:p>
            <w:pPr>
              <w:pStyle w:val="Compact"/>
              <w:jc w:val="right"/>
            </w:pPr>
            <w:r>
              <w:t xml:space="preserve">27,612</w:t>
            </w:r>
          </w:p>
        </w:tc>
        <w:tc>
          <w:tcPr/>
          <w:p>
            <w:pPr>
              <w:pStyle w:val="Compact"/>
              <w:jc w:val="right"/>
            </w:pPr>
            <w:r>
              <w:t xml:space="preserve">13,922</w:t>
            </w:r>
          </w:p>
        </w:tc>
        <w:tc>
          <w:tcPr/>
          <w:p>
            <w:pPr>
              <w:pStyle w:val="Compact"/>
              <w:jc w:val="right"/>
            </w:pPr>
            <w:r>
              <w:t xml:space="preserve">38,091</w:t>
            </w:r>
          </w:p>
        </w:tc>
      </w:tr>
      <w:tr>
        <w:tc>
          <w:tcPr/>
          <w:p>
            <w:pPr>
              <w:pStyle w:val="Compact"/>
            </w:pPr>
            <w:r>
              <w:t xml:space="preserve">x12, window scaled</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x10, window scaled</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10,076</w:t>
            </w:r>
          </w:p>
        </w:tc>
        <w:tc>
          <w:tcPr/>
          <w:p>
            <w:pPr>
              <w:pStyle w:val="Compact"/>
              <w:jc w:val="right"/>
            </w:pPr>
            <w:r>
              <w:t xml:space="preserve">38,788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14.1</w:t>
            </w:r>
          </w:p>
        </w:tc>
        <w:tc>
          <w:tcPr/>
          <w:p>
            <w:pPr>
              <w:pStyle w:val="Compact"/>
              <w:jc w:val="right"/>
            </w:pPr>
            <w:r>
              <w:t xml:space="preserve">0.9</w:t>
            </w:r>
          </w:p>
        </w:tc>
        <w:tc>
          <w:tcPr/>
          <w:p>
            <w:pPr>
              <w:pStyle w:val="Compact"/>
              <w:jc w:val="right"/>
            </w:pPr>
            <w:r>
              <w:t xml:space="preserve">12.4</w:t>
            </w:r>
          </w:p>
        </w:tc>
        <w:tc>
          <w:tcPr/>
          <w:p>
            <w:pPr>
              <w:pStyle w:val="Compact"/>
              <w:jc w:val="right"/>
            </w:pPr>
            <w:r>
              <w:t xml:space="preserve">15.9</w:t>
            </w:r>
          </w:p>
        </w:tc>
      </w:tr>
      <w:tr>
        <w:tc>
          <w:tcPr/>
          <w:p>
            <w:pPr>
              <w:pStyle w:val="Compact"/>
            </w:pPr>
            <w:r>
              <w:t xml:space="preserve">CHE, capacity to pay &gt;= 40% (%)</w:t>
            </w:r>
          </w:p>
        </w:tc>
        <w:tc>
          <w:tcPr/>
          <w:p>
            <w:pPr>
              <w:pStyle w:val="Compact"/>
              <w:jc w:val="right"/>
            </w:pPr>
            <w:r>
              <w:t xml:space="preserve">7.9</w:t>
            </w:r>
          </w:p>
        </w:tc>
        <w:tc>
          <w:tcPr/>
          <w:p>
            <w:pPr>
              <w:pStyle w:val="Compact"/>
              <w:jc w:val="right"/>
            </w:pPr>
            <w:r>
              <w:t xml:space="preserve">0.6</w:t>
            </w:r>
          </w:p>
        </w:tc>
        <w:tc>
          <w:tcPr/>
          <w:p>
            <w:pPr>
              <w:pStyle w:val="Compact"/>
              <w:jc w:val="right"/>
            </w:pPr>
            <w:r>
              <w:t xml:space="preserve">6.8</w:t>
            </w:r>
          </w:p>
        </w:tc>
        <w:tc>
          <w:tcPr/>
          <w:p>
            <w:pPr>
              <w:pStyle w:val="Compact"/>
              <w:jc w:val="right"/>
            </w:pPr>
            <w:r>
              <w:t xml:space="preserve">9.3</w:t>
            </w:r>
          </w:p>
        </w:tc>
      </w:tr>
      <w:tr>
        <w:tc>
          <w:tcPr/>
          <w:p>
            <w:pPr>
              <w:pStyle w:val="Compact"/>
            </w:pPr>
            <w:r>
              <w:t xml:space="preserve">Pure premium (N)</w:t>
            </w:r>
          </w:p>
        </w:tc>
        <w:tc>
          <w:tcPr/>
          <w:p>
            <w:pPr>
              <w:pStyle w:val="Compact"/>
              <w:jc w:val="right"/>
            </w:pPr>
            <w:r>
              <w:t xml:space="preserve">21,458.5</w:t>
            </w:r>
          </w:p>
        </w:tc>
        <w:tc>
          <w:tcPr/>
          <w:p>
            <w:pPr>
              <w:pStyle w:val="Compact"/>
              <w:jc w:val="right"/>
            </w:pPr>
            <w:r>
              <w:t xml:space="preserve">1,291.3</w:t>
            </w:r>
          </w:p>
        </w:tc>
        <w:tc>
          <w:tcPr/>
          <w:p>
            <w:pPr>
              <w:pStyle w:val="Compact"/>
              <w:jc w:val="right"/>
            </w:pPr>
            <w:r>
              <w:t xml:space="preserve">19,118.6</w:t>
            </w:r>
          </w:p>
        </w:tc>
        <w:tc>
          <w:tcPr/>
          <w:p>
            <w:pPr>
              <w:pStyle w:val="Compact"/>
              <w:jc w:val="right"/>
            </w:pPr>
            <w:r>
              <w:t xml:space="preserve">23,928.6</w:t>
            </w:r>
          </w:p>
        </w:tc>
      </w:tr>
      <w:tr>
        <w:tc>
          <w:tcPr/>
          <w:p>
            <w:pPr>
              <w:pStyle w:val="Compact"/>
            </w:pPr>
            <w:r>
              <w:t xml:space="preserve">Gross premium (N)</w:t>
            </w:r>
          </w:p>
        </w:tc>
        <w:tc>
          <w:tcPr/>
          <w:p>
            <w:pPr>
              <w:pStyle w:val="Compact"/>
              <w:jc w:val="right"/>
            </w:pPr>
            <w:r>
              <w:t xml:space="preserve">27,247.1</w:t>
            </w:r>
          </w:p>
        </w:tc>
        <w:tc>
          <w:tcPr/>
          <w:p>
            <w:pPr>
              <w:pStyle w:val="Compact"/>
              <w:jc w:val="right"/>
            </w:pPr>
            <w:r>
              <w:t xml:space="preserve">1,643.9</w:t>
            </w:r>
          </w:p>
        </w:tc>
        <w:tc>
          <w:tcPr/>
          <w:p>
            <w:pPr>
              <w:pStyle w:val="Compact"/>
              <w:jc w:val="right"/>
            </w:pPr>
            <w:r>
              <w:t xml:space="preserve">24,270.3</w:t>
            </w:r>
          </w:p>
        </w:tc>
        <w:tc>
          <w:tcPr/>
          <w:p>
            <w:pPr>
              <w:pStyle w:val="Compact"/>
              <w:jc w:val="right"/>
            </w:pPr>
            <w:r>
              <w:t xml:space="preserve">30,387.5</w:t>
            </w:r>
          </w:p>
        </w:tc>
      </w:tr>
      <w:tr>
        <w:tc>
          <w:tcPr/>
          <w:p>
            <w:pPr>
              <w:pStyle w:val="Compact"/>
            </w:pPr>
            <w:r>
              <w:t xml:space="preserve">Flat contribution (N)</w:t>
            </w:r>
          </w:p>
        </w:tc>
        <w:tc>
          <w:tcPr/>
          <w:p>
            <w:pPr>
              <w:pStyle w:val="Compact"/>
              <w:jc w:val="right"/>
            </w:pPr>
            <w:r>
              <w:t xml:space="preserve">10,022.3</w:t>
            </w:r>
          </w:p>
        </w:tc>
        <w:tc>
          <w:tcPr/>
          <w:p>
            <w:pPr>
              <w:pStyle w:val="Compact"/>
              <w:jc w:val="right"/>
            </w:pPr>
            <w:r>
              <w:t xml:space="preserve">44.0</w:t>
            </w:r>
          </w:p>
        </w:tc>
        <w:tc>
          <w:tcPr/>
          <w:p>
            <w:pPr>
              <w:pStyle w:val="Compact"/>
              <w:jc w:val="right"/>
            </w:pPr>
            <w:r>
              <w:t xml:space="preserve">9,925.0</w:t>
            </w:r>
          </w:p>
        </w:tc>
        <w:tc>
          <w:tcPr/>
          <w:p>
            <w:pPr>
              <w:pStyle w:val="Compact"/>
              <w:jc w:val="right"/>
            </w:pPr>
            <w:r>
              <w:t xml:space="preserve">10,100.0</w:t>
            </w:r>
          </w:p>
        </w:tc>
      </w:tr>
      <w:tr>
        <w:tc>
          <w:tcPr/>
          <w:p>
            <w:pPr>
              <w:pStyle w:val="Compact"/>
            </w:pPr>
            <w:r>
              <w:t xml:space="preserve">Expected claim, random take-up (N)</w:t>
            </w:r>
          </w:p>
        </w:tc>
        <w:tc>
          <w:tcPr/>
          <w:p>
            <w:pPr>
              <w:pStyle w:val="Compact"/>
              <w:jc w:val="right"/>
            </w:pPr>
            <w:r>
              <w:t xml:space="preserve">21,342.0</w:t>
            </w:r>
          </w:p>
        </w:tc>
        <w:tc>
          <w:tcPr/>
          <w:p>
            <w:pPr>
              <w:pStyle w:val="Compact"/>
              <w:jc w:val="right"/>
            </w:pPr>
            <w:r>
              <w:t xml:space="preserve">1,484.6</w:t>
            </w:r>
          </w:p>
        </w:tc>
        <w:tc>
          <w:tcPr/>
          <w:p>
            <w:pPr>
              <w:pStyle w:val="Compact"/>
              <w:jc w:val="right"/>
            </w:pPr>
            <w:r>
              <w:t xml:space="preserve">18,769.5</w:t>
            </w:r>
          </w:p>
        </w:tc>
        <w:tc>
          <w:tcPr/>
          <w:p>
            <w:pPr>
              <w:pStyle w:val="Compact"/>
              <w:jc w:val="right"/>
            </w:pPr>
            <w:r>
              <w:t xml:space="preserve">24,183.6</w:t>
            </w:r>
          </w:p>
        </w:tc>
      </w:tr>
      <w:tr>
        <w:tc>
          <w:tcPr/>
          <w:p>
            <w:pPr>
              <w:pStyle w:val="Compact"/>
            </w:pPr>
            <w:r>
              <w:t xml:space="preserve">Minimum subsidy, random take-up (N)</w:t>
            </w:r>
          </w:p>
        </w:tc>
        <w:tc>
          <w:tcPr/>
          <w:p>
            <w:pPr>
              <w:pStyle w:val="Compact"/>
              <w:jc w:val="right"/>
            </w:pPr>
            <w:r>
              <w:t xml:space="preserve">15,343.9</w:t>
            </w:r>
          </w:p>
        </w:tc>
        <w:tc>
          <w:tcPr/>
          <w:p>
            <w:pPr>
              <w:pStyle w:val="Compact"/>
              <w:jc w:val="right"/>
            </w:pPr>
            <w:r>
              <w:t xml:space="preserve">1,849.7</w:t>
            </w:r>
          </w:p>
        </w:tc>
        <w:tc>
          <w:tcPr/>
          <w:p>
            <w:pPr>
              <w:pStyle w:val="Compact"/>
              <w:jc w:val="right"/>
            </w:pPr>
            <w:r>
              <w:t xml:space="preserve">12,049.8</w:t>
            </w:r>
          </w:p>
        </w:tc>
        <w:tc>
          <w:tcPr/>
          <w:p>
            <w:pPr>
              <w:pStyle w:val="Compact"/>
              <w:jc w:val="right"/>
            </w:pPr>
            <w:r>
              <w:t xml:space="preserve">18,947.8</w:t>
            </w:r>
          </w:p>
        </w:tc>
      </w:tr>
      <w:tr>
        <w:tc>
          <w:tcPr/>
          <w:p>
            <w:pPr>
              <w:pStyle w:val="Compact"/>
            </w:pPr>
            <w:r>
              <w:t xml:space="preserve">Expected claim, strong selection (N)</w:t>
            </w:r>
          </w:p>
        </w:tc>
        <w:tc>
          <w:tcPr/>
          <w:p>
            <w:pPr>
              <w:pStyle w:val="Compact"/>
              <w:jc w:val="right"/>
            </w:pPr>
            <w:r>
              <w:t xml:space="preserve">52,717.9</w:t>
            </w:r>
          </w:p>
        </w:tc>
        <w:tc>
          <w:tcPr/>
          <w:p>
            <w:pPr>
              <w:pStyle w:val="Compact"/>
              <w:jc w:val="right"/>
            </w:pPr>
            <w:r>
              <w:t xml:space="preserve">4,808.2</w:t>
            </w:r>
          </w:p>
        </w:tc>
        <w:tc>
          <w:tcPr/>
          <w:p>
            <w:pPr>
              <w:pStyle w:val="Compact"/>
              <w:jc w:val="right"/>
            </w:pPr>
            <w:r>
              <w:t xml:space="preserve">43,928.2</w:t>
            </w:r>
          </w:p>
        </w:tc>
        <w:tc>
          <w:tcPr/>
          <w:p>
            <w:pPr>
              <w:pStyle w:val="Compact"/>
              <w:jc w:val="right"/>
            </w:pPr>
            <w:r>
              <w:t xml:space="preserve">62,124.5</w:t>
            </w:r>
          </w:p>
        </w:tc>
      </w:tr>
      <w:tr>
        <w:tc>
          <w:tcPr/>
          <w:p>
            <w:pPr>
              <w:pStyle w:val="Compact"/>
            </w:pPr>
            <w:r>
              <w:t xml:space="preserve">Minimum subsidy, strong selection (N)</w:t>
            </w:r>
          </w:p>
        </w:tc>
        <w:tc>
          <w:tcPr/>
          <w:p>
            <w:pPr>
              <w:pStyle w:val="Compact"/>
              <w:jc w:val="right"/>
            </w:pPr>
            <w:r>
              <w:t xml:space="preserve">51,406.7</w:t>
            </w:r>
          </w:p>
        </w:tc>
        <w:tc>
          <w:tcPr/>
          <w:p>
            <w:pPr>
              <w:pStyle w:val="Compact"/>
              <w:jc w:val="right"/>
            </w:pPr>
            <w:r>
              <w:t xml:space="preserve">5,606.5</w:t>
            </w:r>
          </w:p>
        </w:tc>
        <w:tc>
          <w:tcPr/>
          <w:p>
            <w:pPr>
              <w:pStyle w:val="Compact"/>
              <w:jc w:val="right"/>
            </w:pPr>
            <w:r>
              <w:t xml:space="preserve">41,075.8</w:t>
            </w:r>
          </w:p>
        </w:tc>
        <w:tc>
          <w:tcPr/>
          <w:p>
            <w:pPr>
              <w:pStyle w:val="Compact"/>
              <w:jc w:val="right"/>
            </w:pPr>
            <w:r>
              <w:t xml:space="preserve">62,337.2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The rebuilt consumption aggregate against wave 4’s published aggregate, and the calibration check.</w:t>
      </w:r>
    </w:p>
    <w:p>
      <w:pPr>
        <w:pStyle w:val="BodyText"/>
      </w:pPr>
      <w:r>
        <w:rPr>
          <w:i/>
          <w:iCs/>
        </w:rPr>
        <w:t xml:space="preserve">Upper panel: component means. Lower panel: CHE on wave 4 computed with the official aggregate, the rebuilt aggregate and the calibrated rebuilt aggregate, holding out-of-pocket spending fixed. Calibration factors: food 1.158, non-food 0.892, rent to non-rent 0.0687.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Wave-4 aggregate</w:t>
            </w:r>
          </w:p>
        </w:tc>
        <w:tc>
          <w:tcPr/>
          <w:p>
            <w:pPr>
              <w:pStyle w:val="Compact"/>
              <w:jc w:val="right"/>
            </w:pPr>
            <w:r>
              <w:t xml:space="preserve">Mean</w:t>
            </w:r>
          </w:p>
        </w:tc>
        <w:tc>
          <w:tcPr/>
          <w:p>
            <w:pPr>
              <w:pStyle w:val="Compact"/>
              <w:jc w:val="right"/>
            </w:pPr>
            <w:r>
              <w:t xml:space="preserve">Ratio to official</w:t>
            </w:r>
          </w:p>
        </w:tc>
        <w:tc>
          <w:tcPr/>
          <w:p>
            <w:pPr>
              <w:pStyle w:val="Compact"/>
              <w:jc w:val="right"/>
            </w:pPr>
            <w:r>
              <w:t xml:space="preserve">Spearman</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Mean OOP share %</w:t>
            </w:r>
          </w:p>
        </w:tc>
      </w:tr>
      <w:tr>
        <w:tc>
          <w:tcPr/>
          <w:p>
            <w:pPr>
              <w:pStyle w:val="Compact"/>
            </w:pPr>
            <w:r>
              <w:t xml:space="preserve">Official aggregate</w:t>
            </w:r>
          </w:p>
        </w:tc>
        <w:tc>
          <w:tcPr/>
          <w:p>
            <w:pPr>
              <w:pStyle w:val="Compact"/>
              <w:jc w:val="right"/>
            </w:pPr>
            <w:r>
              <w:t xml:space="preserve">1,041,090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14.1</w:t>
            </w:r>
          </w:p>
        </w:tc>
        <w:tc>
          <w:tcPr/>
          <w:p>
            <w:pPr>
              <w:pStyle w:val="Compact"/>
              <w:jc w:val="right"/>
            </w:pPr>
            <w:r>
              <w:t xml:space="preserve">2.5</w:t>
            </w:r>
          </w:p>
        </w:tc>
        <w:tc>
          <w:tcPr/>
          <w:p>
            <w:pPr>
              <w:pStyle w:val="Compact"/>
              <w:jc w:val="right"/>
            </w:pPr>
            <w:r>
              <w:t xml:space="preserve">4.9</w:t>
            </w:r>
          </w:p>
        </w:tc>
      </w:tr>
      <w:tr>
        <w:tc>
          <w:tcPr/>
          <w:p>
            <w:pPr>
              <w:pStyle w:val="Compact"/>
            </w:pPr>
            <w:r>
              <w:t xml:space="preserve">Rebuilt, uncalibrated</w:t>
            </w:r>
          </w:p>
        </w:tc>
        <w:tc>
          <w:tcPr/>
          <w:p>
            <w:pPr>
              <w:pStyle w:val="Compact"/>
              <w:jc w:val="right"/>
            </w:pPr>
            <w:r>
              <w:t xml:space="preserve">873,100</w:t>
            </w:r>
          </w:p>
        </w:tc>
        <w:tc>
          <w:tcPr/>
          <w:p>
            <w:pPr>
              <w:pStyle w:val="Compact"/>
              <w:jc w:val="right"/>
            </w:pPr>
            <w:r>
              <w:t xml:space="preserve">0.839</w:t>
            </w:r>
          </w:p>
        </w:tc>
        <w:tc>
          <w:tcPr/>
          <w:p>
            <w:pPr>
              <w:pStyle w:val="Compact"/>
              <w:jc w:val="right"/>
            </w:pPr>
            <w:r>
              <w:t xml:space="preserve">0.850</w:t>
            </w:r>
          </w:p>
        </w:tc>
        <w:tc>
          <w:tcPr/>
          <w:p>
            <w:pPr>
              <w:pStyle w:val="Compact"/>
              <w:jc w:val="right"/>
            </w:pPr>
            <w:r>
              <w:t xml:space="preserve">17.6</w:t>
            </w:r>
          </w:p>
        </w:tc>
        <w:tc>
          <w:tcPr/>
          <w:p>
            <w:pPr>
              <w:pStyle w:val="Compact"/>
              <w:jc w:val="right"/>
            </w:pPr>
            <w:r>
              <w:t xml:space="preserve">4.0</w:t>
            </w:r>
          </w:p>
        </w:tc>
        <w:tc>
          <w:tcPr/>
          <w:p>
            <w:pPr>
              <w:pStyle w:val="Compact"/>
              <w:jc w:val="right"/>
            </w:pPr>
            <w:r>
              <w:t xml:space="preserve">5.9</w:t>
            </w:r>
          </w:p>
        </w:tc>
      </w:tr>
      <w:tr>
        <w:tc>
          <w:tcPr/>
          <w:p>
            <w:pPr>
              <w:pStyle w:val="Compact"/>
            </w:pPr>
            <w:r>
              <w:t xml:space="preserve">Rebuilt, calibrated</w:t>
            </w:r>
          </w:p>
        </w:tc>
        <w:tc>
          <w:tcPr/>
          <w:p>
            <w:pPr>
              <w:pStyle w:val="Compact"/>
              <w:jc w:val="right"/>
            </w:pPr>
            <w:r>
              <w:t xml:space="preserve">1,000,751</w:t>
            </w:r>
          </w:p>
        </w:tc>
        <w:tc>
          <w:tcPr/>
          <w:p>
            <w:pPr>
              <w:pStyle w:val="Compact"/>
              <w:jc w:val="right"/>
            </w:pPr>
            <w:r>
              <w:t xml:space="preserve">0.961</w:t>
            </w:r>
          </w:p>
        </w:tc>
        <w:tc>
          <w:tcPr/>
          <w:p>
            <w:pPr>
              <w:pStyle w:val="Compact"/>
              <w:jc w:val="right"/>
            </w:pPr>
            <w:r>
              <w:t xml:space="preserve">0.841</w:t>
            </w:r>
          </w:p>
        </w:tc>
        <w:tc>
          <w:tcPr/>
          <w:p>
            <w:pPr>
              <w:pStyle w:val="Compact"/>
              <w:jc w:val="right"/>
            </w:pPr>
            <w:r>
              <w:t xml:space="preserve">15.2</w:t>
            </w:r>
          </w:p>
        </w:tc>
        <w:tc>
          <w:tcPr/>
          <w:p>
            <w:pPr>
              <w:pStyle w:val="Compact"/>
              <w:jc w:val="right"/>
            </w:pPr>
            <w:r>
              <w:t xml:space="preserve">2.7</w:t>
            </w:r>
          </w:p>
        </w:tc>
        <w:tc>
          <w:tcPr/>
          <w:p>
            <w:pPr>
              <w:pStyle w:val="Compact"/>
              <w:jc w:val="right"/>
            </w:pPr>
            <w:r>
              <w:t xml:space="preserve">5.2</w:t>
            </w:r>
          </w:p>
        </w:tc>
      </w:tr>
    </w:tbl>
    <w:p>
      <w:pPr>
        <w:pStyle w:val="BodyText"/>
      </w:pPr>
      <w:r>
        <w:rPr>
          <w:b/>
          <w:bCs/>
        </w:rPr>
        <w:t xml:space="preserve">Table A2.</w:t>
      </w:r>
      <w:r>
        <w:t xml:space="preserve"> </w:t>
      </w:r>
      <w:r>
        <w:t xml:space="preserve">Catastrophic expenditure by residence and zone, and observed health-insurance coverage.</w:t>
      </w:r>
    </w:p>
    <w:p>
      <w:pPr>
        <w:pStyle w:val="BodyText"/>
      </w:pPr>
      <w:r>
        <w:rPr>
          <w:i/>
          <w:iCs/>
        </w:rPr>
        <w:t xml:space="preserve">The 25% and 40% budget-share thresholds are in output/tables/table2_che.csv.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14.2</w:t>
            </w:r>
          </w:p>
        </w:tc>
        <w:tc>
          <w:tcPr/>
          <w:p>
            <w:pPr>
              <w:pStyle w:val="Compact"/>
              <w:jc w:val="right"/>
            </w:pPr>
            <w:r>
              <w:t xml:space="preserve">12.0</w:t>
            </w:r>
          </w:p>
        </w:tc>
        <w:tc>
          <w:tcPr/>
          <w:p>
            <w:pPr>
              <w:pStyle w:val="Compact"/>
              <w:jc w:val="right"/>
            </w:pPr>
            <w:r>
              <w:t xml:space="preserve">16.4</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14.0</w:t>
            </w:r>
          </w:p>
        </w:tc>
        <w:tc>
          <w:tcPr/>
          <w:p>
            <w:pPr>
              <w:pStyle w:val="Compact"/>
              <w:jc w:val="right"/>
            </w:pPr>
            <w:r>
              <w:t xml:space="preserve">11.4</w:t>
            </w:r>
          </w:p>
        </w:tc>
        <w:tc>
          <w:tcPr/>
          <w:p>
            <w:pPr>
              <w:pStyle w:val="Compact"/>
              <w:jc w:val="right"/>
            </w:pPr>
            <w:r>
              <w:t xml:space="preserve">16.6</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21.3</w:t>
            </w:r>
          </w:p>
        </w:tc>
        <w:tc>
          <w:tcPr/>
          <w:p>
            <w:pPr>
              <w:pStyle w:val="Compact"/>
              <w:jc w:val="right"/>
            </w:pPr>
            <w:r>
              <w:t xml:space="preserve">16.4</w:t>
            </w:r>
          </w:p>
        </w:tc>
        <w:tc>
          <w:tcPr/>
          <w:p>
            <w:pPr>
              <w:pStyle w:val="Compact"/>
              <w:jc w:val="right"/>
            </w:pPr>
            <w:r>
              <w:t xml:space="preserve">26.1</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13.5</w:t>
            </w:r>
          </w:p>
        </w:tc>
        <w:tc>
          <w:tcPr/>
          <w:p>
            <w:pPr>
              <w:pStyle w:val="Compact"/>
              <w:jc w:val="right"/>
            </w:pPr>
            <w:r>
              <w:t xml:space="preserve">10.4</w:t>
            </w:r>
          </w:p>
        </w:tc>
        <w:tc>
          <w:tcPr/>
          <w:p>
            <w:pPr>
              <w:pStyle w:val="Compact"/>
              <w:jc w:val="right"/>
            </w:pPr>
            <w:r>
              <w:t xml:space="preserve">16.7</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9.2</w:t>
            </w:r>
          </w:p>
        </w:tc>
        <w:tc>
          <w:tcPr/>
          <w:p>
            <w:pPr>
              <w:pStyle w:val="Compact"/>
              <w:jc w:val="right"/>
            </w:pPr>
            <w:r>
              <w:t xml:space="preserve">6.0</w:t>
            </w:r>
          </w:p>
        </w:tc>
        <w:tc>
          <w:tcPr/>
          <w:p>
            <w:pPr>
              <w:pStyle w:val="Compact"/>
              <w:jc w:val="right"/>
            </w:pPr>
            <w:r>
              <w:t xml:space="preserve">12.5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24.8</w:t>
            </w:r>
          </w:p>
        </w:tc>
        <w:tc>
          <w:tcPr/>
          <w:p>
            <w:pPr>
              <w:pStyle w:val="Compact"/>
              <w:jc w:val="right"/>
            </w:pPr>
            <w:r>
              <w:t xml:space="preserve">20.2</w:t>
            </w:r>
          </w:p>
        </w:tc>
        <w:tc>
          <w:tcPr/>
          <w:p>
            <w:pPr>
              <w:pStyle w:val="Compact"/>
              <w:jc w:val="right"/>
            </w:pPr>
            <w:r>
              <w:t xml:space="preserve">29.5</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15.9</w:t>
            </w:r>
          </w:p>
        </w:tc>
        <w:tc>
          <w:tcPr/>
          <w:p>
            <w:pPr>
              <w:pStyle w:val="Compact"/>
              <w:jc w:val="right"/>
            </w:pPr>
            <w:r>
              <w:t xml:space="preserve">11.2</w:t>
            </w:r>
          </w:p>
        </w:tc>
        <w:tc>
          <w:tcPr/>
          <w:p>
            <w:pPr>
              <w:pStyle w:val="Compact"/>
              <w:jc w:val="right"/>
            </w:pPr>
            <w:r>
              <w:t xml:space="preserve">20.5</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8.8</w:t>
            </w:r>
          </w:p>
        </w:tc>
        <w:tc>
          <w:tcPr/>
          <w:p>
            <w:pPr>
              <w:pStyle w:val="Compact"/>
              <w:jc w:val="right"/>
            </w:pPr>
            <w:r>
              <w:t xml:space="preserve">6.1</w:t>
            </w:r>
          </w:p>
        </w:tc>
        <w:tc>
          <w:tcPr/>
          <w:p>
            <w:pPr>
              <w:pStyle w:val="Compact"/>
              <w:jc w:val="right"/>
            </w:pPr>
            <w:r>
              <w:t xml:space="preserve">11.4</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9.0</w:t>
            </w:r>
          </w:p>
        </w:tc>
        <w:tc>
          <w:tcPr/>
          <w:p>
            <w:pPr>
              <w:pStyle w:val="Compact"/>
              <w:jc w:val="right"/>
            </w:pPr>
            <w:r>
              <w:t xml:space="preserve">7.4</w:t>
            </w:r>
          </w:p>
        </w:tc>
        <w:tc>
          <w:tcPr/>
          <w:p>
            <w:pPr>
              <w:pStyle w:val="Compact"/>
              <w:jc w:val="right"/>
            </w:pPr>
            <w:r>
              <w:t xml:space="preserve">10.7</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6.0</w:t>
            </w:r>
          </w:p>
        </w:tc>
        <w:tc>
          <w:tcPr/>
          <w:p>
            <w:pPr>
              <w:pStyle w:val="Compact"/>
              <w:jc w:val="right"/>
            </w:pPr>
            <w:r>
              <w:t xml:space="preserve">4.2</w:t>
            </w:r>
          </w:p>
        </w:tc>
        <w:tc>
          <w:tcPr/>
          <w:p>
            <w:pPr>
              <w:pStyle w:val="Compact"/>
              <w:jc w:val="right"/>
            </w:pPr>
            <w:r>
              <w:t xml:space="preserve">7.8</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13.0</w:t>
            </w:r>
          </w:p>
        </w:tc>
        <w:tc>
          <w:tcPr/>
          <w:p>
            <w:pPr>
              <w:pStyle w:val="Compact"/>
              <w:jc w:val="right"/>
            </w:pPr>
            <w:r>
              <w:t xml:space="preserve">9.1</w:t>
            </w:r>
          </w:p>
        </w:tc>
        <w:tc>
          <w:tcPr/>
          <w:p>
            <w:pPr>
              <w:pStyle w:val="Compact"/>
              <w:jc w:val="right"/>
            </w:pPr>
            <w:r>
              <w:t xml:space="preserve">17.0</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10.9</w:t>
            </w:r>
          </w:p>
        </w:tc>
        <w:tc>
          <w:tcPr/>
          <w:p>
            <w:pPr>
              <w:pStyle w:val="Compact"/>
              <w:jc w:val="right"/>
            </w:pPr>
            <w:r>
              <w:t xml:space="preserve">8.2</w:t>
            </w:r>
          </w:p>
        </w:tc>
        <w:tc>
          <w:tcPr/>
          <w:p>
            <w:pPr>
              <w:pStyle w:val="Compact"/>
              <w:jc w:val="right"/>
            </w:pPr>
            <w:r>
              <w:t xml:space="preserve">13.6</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4.6</w:t>
            </w:r>
          </w:p>
        </w:tc>
        <w:tc>
          <w:tcPr/>
          <w:p>
            <w:pPr>
              <w:pStyle w:val="Compact"/>
              <w:jc w:val="right"/>
            </w:pPr>
            <w:r>
              <w:t xml:space="preserve">2.2</w:t>
            </w:r>
          </w:p>
        </w:tc>
        <w:tc>
          <w:tcPr/>
          <w:p>
            <w:pPr>
              <w:pStyle w:val="Compact"/>
              <w:jc w:val="right"/>
            </w:pPr>
            <w:r>
              <w:t xml:space="preserve">6.9</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13.7</w:t>
            </w:r>
          </w:p>
        </w:tc>
        <w:tc>
          <w:tcPr/>
          <w:p>
            <w:pPr>
              <w:pStyle w:val="Compact"/>
              <w:jc w:val="right"/>
            </w:pPr>
            <w:r>
              <w:t xml:space="preserve">9.9</w:t>
            </w:r>
          </w:p>
        </w:tc>
        <w:tc>
          <w:tcPr/>
          <w:p>
            <w:pPr>
              <w:pStyle w:val="Compact"/>
              <w:jc w:val="right"/>
            </w:pPr>
            <w:r>
              <w:t xml:space="preserve">17.5</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7.3</w:t>
            </w:r>
          </w:p>
        </w:tc>
        <w:tc>
          <w:tcPr/>
          <w:p>
            <w:pPr>
              <w:pStyle w:val="Compact"/>
              <w:jc w:val="right"/>
            </w:pPr>
            <w:r>
              <w:t xml:space="preserve">4.5</w:t>
            </w:r>
          </w:p>
        </w:tc>
        <w:tc>
          <w:tcPr/>
          <w:p>
            <w:pPr>
              <w:pStyle w:val="Compact"/>
              <w:jc w:val="right"/>
            </w:pPr>
            <w:r>
              <w:t xml:space="preserve">10.1</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5.1</w:t>
            </w:r>
          </w:p>
        </w:tc>
        <w:tc>
          <w:tcPr/>
          <w:p>
            <w:pPr>
              <w:pStyle w:val="Compact"/>
              <w:jc w:val="right"/>
            </w:pPr>
            <w:r>
              <w:t xml:space="preserve">752</w:t>
            </w: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Households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Households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701</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0.06</w:t>
            </w:r>
          </w:p>
        </w:tc>
        <w:tc>
          <w:tcPr/>
          <w:p>
            <w:pPr>
              <w:pStyle w:val="Compact"/>
              <w:jc w:val="right"/>
            </w:pPr>
            <w:r>
              <w:t xml:space="preserve">699</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1.10</w:t>
            </w:r>
          </w:p>
        </w:tc>
        <w:tc>
          <w:tcPr/>
          <w:p>
            <w:pPr>
              <w:pStyle w:val="Compact"/>
              <w:jc w:val="right"/>
            </w:pPr>
            <w:r>
              <w:t xml:space="preserve">0.38</w:t>
            </w:r>
          </w:p>
        </w:tc>
        <w:tc>
          <w:tcPr/>
          <w:p>
            <w:pPr>
              <w:pStyle w:val="Compact"/>
              <w:jc w:val="right"/>
            </w:pPr>
            <w:r>
              <w:t xml:space="preserve">0.60</w:t>
            </w:r>
          </w:p>
        </w:tc>
        <w:tc>
          <w:tcPr/>
          <w:p>
            <w:pPr>
              <w:pStyle w:val="Compact"/>
              <w:jc w:val="right"/>
            </w:pPr>
            <w:r>
              <w:t xml:space="preserve">0.20</w:t>
            </w:r>
          </w:p>
        </w:tc>
        <w:tc>
          <w:tcPr/>
          <w:p>
            <w:pPr>
              <w:pStyle w:val="Compact"/>
              <w:jc w:val="right"/>
            </w:pPr>
            <w:r>
              <w:t xml:space="preserve">808</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2.21</w:t>
            </w:r>
          </w:p>
        </w:tc>
        <w:tc>
          <w:tcPr/>
          <w:p>
            <w:pPr>
              <w:pStyle w:val="Compact"/>
              <w:jc w:val="right"/>
            </w:pPr>
            <w:r>
              <w:t xml:space="preserve">0.76</w:t>
            </w:r>
          </w:p>
        </w:tc>
        <w:tc>
          <w:tcPr/>
          <w:p>
            <w:pPr>
              <w:pStyle w:val="Compact"/>
              <w:jc w:val="right"/>
            </w:pPr>
            <w:r>
              <w:t xml:space="preserve">1.46</w:t>
            </w:r>
          </w:p>
        </w:tc>
        <w:tc>
          <w:tcPr/>
          <w:p>
            <w:pPr>
              <w:pStyle w:val="Compact"/>
              <w:jc w:val="right"/>
            </w:pPr>
            <w:r>
              <w:t xml:space="preserve">0.08</w:t>
            </w:r>
          </w:p>
        </w:tc>
        <w:tc>
          <w:tcPr/>
          <w:p>
            <w:pPr>
              <w:pStyle w:val="Compact"/>
              <w:jc w:val="right"/>
            </w:pPr>
            <w:r>
              <w:t xml:space="preserve">1,041</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3.15</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1,436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A3.</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57.20</w:t>
            </w:r>
          </w:p>
        </w:tc>
        <w:tc>
          <w:tcPr/>
          <w:p>
            <w:pPr>
              <w:pStyle w:val="Compact"/>
              <w:jc w:val="right"/>
            </w:pPr>
            <w:r>
              <w:t xml:space="preserve">1.65</w:t>
            </w:r>
          </w:p>
        </w:tc>
      </w:tr>
      <w:tr>
        <w:tc>
          <w:tcPr/>
          <w:p>
            <w:pPr>
              <w:pStyle w:val="Compact"/>
            </w:pPr>
            <w:r>
              <w:t xml:space="preserve">Poverty headcount after OOP (%)</w:t>
            </w:r>
          </w:p>
        </w:tc>
        <w:tc>
          <w:tcPr/>
          <w:p>
            <w:pPr>
              <w:pStyle w:val="Compact"/>
              <w:jc w:val="right"/>
            </w:pPr>
            <w:r>
              <w:t xml:space="preserve">60.29</w:t>
            </w:r>
          </w:p>
        </w:tc>
        <w:tc>
          <w:tcPr/>
          <w:p>
            <w:pPr>
              <w:pStyle w:val="Compact"/>
              <w:jc w:val="right"/>
            </w:pPr>
            <w:r>
              <w:t xml:space="preserve">1.60</w:t>
            </w:r>
          </w:p>
        </w:tc>
      </w:tr>
      <w:tr>
        <w:tc>
          <w:tcPr/>
          <w:p>
            <w:pPr>
              <w:pStyle w:val="Compact"/>
            </w:pPr>
            <w:r>
              <w:t xml:space="preserve">Impoverished by OOP (pp)</w:t>
            </w:r>
          </w:p>
        </w:tc>
        <w:tc>
          <w:tcPr/>
          <w:p>
            <w:pPr>
              <w:pStyle w:val="Compact"/>
              <w:jc w:val="right"/>
            </w:pPr>
            <w:r>
              <w:t xml:space="preserve">3.09</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3.09</w:t>
            </w:r>
          </w:p>
        </w:tc>
        <w:tc>
          <w:tcPr/>
          <w:p>
            <w:pPr>
              <w:pStyle w:val="Compact"/>
              <w:jc w:val="right"/>
            </w:pPr>
            <w:r>
              <w:t xml:space="preserve">0.46</w:t>
            </w:r>
          </w:p>
        </w:tc>
      </w:tr>
      <w:tr>
        <w:tc>
          <w:tcPr/>
          <w:p>
            <w:pPr>
              <w:pStyle w:val="Compact"/>
            </w:pPr>
            <w:r>
              <w:t xml:space="preserve">Normalized poverty gap before OOP (%)</w:t>
            </w:r>
          </w:p>
        </w:tc>
        <w:tc>
          <w:tcPr/>
          <w:p>
            <w:pPr>
              <w:pStyle w:val="Compact"/>
              <w:jc w:val="right"/>
            </w:pPr>
            <w:r>
              <w:t xml:space="preserve">22.01</w:t>
            </w:r>
          </w:p>
        </w:tc>
        <w:tc>
          <w:tcPr/>
          <w:p>
            <w:pPr>
              <w:pStyle w:val="Compact"/>
              <w:jc w:val="right"/>
            </w:pPr>
            <w:r>
              <w:t xml:space="preserve">0.93</w:t>
            </w:r>
          </w:p>
        </w:tc>
      </w:tr>
      <w:tr>
        <w:tc>
          <w:tcPr/>
          <w:p>
            <w:pPr>
              <w:pStyle w:val="Compact"/>
            </w:pPr>
            <w:r>
              <w:t xml:space="preserve">Normalized poverty gap after OOP (%)</w:t>
            </w:r>
          </w:p>
        </w:tc>
        <w:tc>
          <w:tcPr/>
          <w:p>
            <w:pPr>
              <w:pStyle w:val="Compact"/>
              <w:jc w:val="right"/>
            </w:pPr>
            <w:r>
              <w:t xml:space="preserve">23.87</w:t>
            </w:r>
          </w:p>
        </w:tc>
        <w:tc>
          <w:tcPr/>
          <w:p>
            <w:pPr>
              <w:pStyle w:val="Compact"/>
              <w:jc w:val="right"/>
            </w:pPr>
            <w:r>
              <w:t xml:space="preserve">0.93</w:t>
            </w:r>
          </w:p>
        </w:tc>
      </w:tr>
      <w:tr>
        <w:tc>
          <w:tcPr/>
          <w:p>
            <w:pPr>
              <w:pStyle w:val="Compact"/>
            </w:pPr>
            <w:r>
              <w:t xml:space="preserve">Increase in poverty gap (pp)</w:t>
            </w:r>
          </w:p>
        </w:tc>
        <w:tc>
          <w:tcPr/>
          <w:p>
            <w:pPr>
              <w:pStyle w:val="Compact"/>
              <w:jc w:val="right"/>
            </w:pPr>
            <w:r>
              <w:t xml:space="preserve">1.86</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17.6</w:t>
            </w:r>
          </w:p>
        </w:tc>
        <w:tc>
          <w:tcPr/>
          <w:p>
            <w:pPr>
              <w:pStyle w:val="Compact"/>
              <w:jc w:val="right"/>
            </w:pPr>
            <w:r>
              <w:t xml:space="preserve">19.9</w:t>
            </w:r>
          </w:p>
        </w:tc>
        <w:tc>
          <w:tcPr/>
          <w:p>
            <w:pPr>
              <w:pStyle w:val="Compact"/>
              <w:jc w:val="right"/>
            </w:pPr>
            <w:r>
              <w:t xml:space="preserve">2.30</w:t>
            </w:r>
          </w:p>
        </w:tc>
        <w:tc>
          <w:tcPr/>
          <w:p>
            <w:pPr>
              <w:pStyle w:val="Compact"/>
              <w:jc w:val="right"/>
            </w:pPr>
            <w:r>
              <w:t xml:space="preserve">4.87</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40.2</w:t>
            </w:r>
          </w:p>
        </w:tc>
        <w:tc>
          <w:tcPr/>
          <w:p>
            <w:pPr>
              <w:pStyle w:val="Compact"/>
              <w:jc w:val="right"/>
            </w:pPr>
            <w:r>
              <w:t xml:space="preserve">42.8</w:t>
            </w:r>
          </w:p>
        </w:tc>
        <w:tc>
          <w:tcPr/>
          <w:p>
            <w:pPr>
              <w:pStyle w:val="Compact"/>
              <w:jc w:val="right"/>
            </w:pPr>
            <w:r>
              <w:t xml:space="preserve">2.67</w:t>
            </w:r>
          </w:p>
        </w:tc>
        <w:tc>
          <w:tcPr/>
          <w:p>
            <w:pPr>
              <w:pStyle w:val="Compact"/>
              <w:jc w:val="right"/>
            </w:pPr>
            <w:r>
              <w:t xml:space="preserve">5.64</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57.2</w:t>
            </w:r>
          </w:p>
        </w:tc>
        <w:tc>
          <w:tcPr/>
          <w:p>
            <w:pPr>
              <w:pStyle w:val="Compact"/>
              <w:jc w:val="right"/>
            </w:pPr>
            <w:r>
              <w:t xml:space="preserve">60.3</w:t>
            </w:r>
          </w:p>
        </w:tc>
        <w:tc>
          <w:tcPr/>
          <w:p>
            <w:pPr>
              <w:pStyle w:val="Compact"/>
              <w:jc w:val="right"/>
            </w:pPr>
            <w:r>
              <w:t xml:space="preserve">3.09</w:t>
            </w:r>
          </w:p>
        </w:tc>
        <w:tc>
          <w:tcPr/>
          <w:p>
            <w:pPr>
              <w:pStyle w:val="Compact"/>
              <w:jc w:val="right"/>
            </w:pPr>
            <w:r>
              <w:t xml:space="preserve">6.54</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69.9</w:t>
            </w:r>
          </w:p>
        </w:tc>
        <w:tc>
          <w:tcPr/>
          <w:p>
            <w:pPr>
              <w:pStyle w:val="Compact"/>
              <w:jc w:val="right"/>
            </w:pPr>
            <w:r>
              <w:t xml:space="preserve">71.5</w:t>
            </w:r>
          </w:p>
        </w:tc>
        <w:tc>
          <w:tcPr/>
          <w:p>
            <w:pPr>
              <w:pStyle w:val="Compact"/>
              <w:jc w:val="right"/>
            </w:pPr>
            <w:r>
              <w:t xml:space="preserve">1.63</w:t>
            </w:r>
          </w:p>
        </w:tc>
        <w:tc>
          <w:tcPr/>
          <w:p>
            <w:pPr>
              <w:pStyle w:val="Compact"/>
              <w:jc w:val="right"/>
            </w:pPr>
            <w:r>
              <w:t xml:space="preserve">3.45</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76.1</w:t>
            </w:r>
          </w:p>
        </w:tc>
        <w:tc>
          <w:tcPr/>
          <w:p>
            <w:pPr>
              <w:pStyle w:val="Compact"/>
              <w:jc w:val="right"/>
            </w:pPr>
            <w:r>
              <w:t xml:space="preserve">78.2</w:t>
            </w:r>
          </w:p>
        </w:tc>
        <w:tc>
          <w:tcPr/>
          <w:p>
            <w:pPr>
              <w:pStyle w:val="Compact"/>
              <w:jc w:val="right"/>
            </w:pPr>
            <w:r>
              <w:t xml:space="preserve">2.14</w:t>
            </w:r>
          </w:p>
        </w:tc>
        <w:tc>
          <w:tcPr/>
          <w:p>
            <w:pPr>
              <w:pStyle w:val="Compact"/>
              <w:jc w:val="right"/>
            </w:pPr>
            <w:r>
              <w:t xml:space="preserve">4.52</w:t>
            </w:r>
          </w:p>
        </w:tc>
      </w:tr>
    </w:tbl>
    <w:p>
      <w:pPr>
        <w:pStyle w:val="BodyText"/>
      </w:pPr>
      <w:r>
        <w:rPr>
          <w:b/>
          <w:bCs/>
        </w:rPr>
        <w:t xml:space="preserve">Table A4.</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0.0063</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-0.0026</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0.0539</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-0.0074</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-0.0012</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-0.0552</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-0.0027</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0.0076</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-0.0038</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0.0731</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0.2043</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0.0079</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-0.0022</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0.3619</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0.0261</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-0.0234</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0.0257</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-0.0188</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-0.0020</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0.0322</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-0.0068</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-0.0020</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-0.0483</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-0.0042</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0.0054</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-0.0048</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0.0629</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-0.0061</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0.1677</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0.0288</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-0.0145</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0.1900</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0.0245</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-0.1562</w:t>
            </w:r>
          </w:p>
        </w:tc>
      </w:tr>
    </w:tbl>
    <w:p>
      <w:pPr>
        <w:pStyle w:val="BodyText"/>
      </w:pPr>
      <w:r>
        <w:rPr>
          <w:b/>
          <w:bCs/>
        </w:rPr>
        <w:t xml:space="preserve">Table A5.</w:t>
      </w:r>
      <w:r>
        <w:t xml:space="preserve"> </w:t>
      </w:r>
      <w:r>
        <w:t xml:space="preserve">Gross premium by pool size, risk margins, risk relativities and the comparison with a published state-scheme rate.</w:t>
      </w:r>
    </w:p>
    <w:p>
      <w:pPr>
        <w:pStyle w:val="BodyText"/>
      </w:pPr>
      <w:r>
        <w:rPr>
          <w:i/>
          <w:iCs/>
        </w:rPr>
        <w:t xml:space="preserve">Relativities are relative to the community average; the premium itself is community-rated. The Lagos comparison is a plausibility check: the Ilera Eko package is not the NHIA basic package, and its rates are nominal July-2024 naira.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161</w:t>
            </w:r>
          </w:p>
        </w:tc>
        <w:tc>
          <w:tcPr/>
          <w:p>
            <w:pPr>
              <w:pStyle w:val="Compact"/>
              <w:jc w:val="right"/>
            </w:pPr>
            <w:r>
              <w:t xml:space="preserve">27,349</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3,528</w:t>
            </w:r>
          </w:p>
        </w:tc>
        <w:tc>
          <w:tcPr/>
          <w:p>
            <w:pPr>
              <w:pStyle w:val="Compact"/>
              <w:jc w:val="right"/>
            </w:pPr>
            <w:r>
              <w:t xml:space="preserve">31,608</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81</w:t>
            </w:r>
          </w:p>
        </w:tc>
        <w:tc>
          <w:tcPr/>
          <w:p>
            <w:pPr>
              <w:pStyle w:val="Compact"/>
              <w:jc w:val="right"/>
            </w:pPr>
            <w:r>
              <w:t xml:space="preserve">27,247</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1,812</w:t>
            </w:r>
          </w:p>
        </w:tc>
        <w:tc>
          <w:tcPr/>
          <w:p>
            <w:pPr>
              <w:pStyle w:val="Compact"/>
              <w:jc w:val="right"/>
            </w:pPr>
            <w:r>
              <w:t xml:space="preserve">29,437</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36</w:t>
            </w:r>
          </w:p>
        </w:tc>
        <w:tc>
          <w:tcPr/>
          <w:p>
            <w:pPr>
              <w:pStyle w:val="Compact"/>
              <w:jc w:val="right"/>
            </w:pPr>
            <w:r>
              <w:t xml:space="preserve">27,191</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748</w:t>
            </w:r>
          </w:p>
        </w:tc>
        <w:tc>
          <w:tcPr/>
          <w:p>
            <w:pPr>
              <w:pStyle w:val="Compact"/>
              <w:jc w:val="right"/>
            </w:pPr>
            <w:r>
              <w:t xml:space="preserve">28,092</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161</w:t>
            </w:r>
          </w:p>
        </w:tc>
        <w:tc>
          <w:tcPr/>
          <w:p>
            <w:pPr>
              <w:pStyle w:val="Compact"/>
              <w:jc w:val="right"/>
            </w:pPr>
            <w:r>
              <w:t xml:space="preserve">3,528</w:t>
            </w:r>
          </w:p>
        </w:tc>
        <w:tc>
          <w:tcPr/>
          <w:p>
            <w:pPr>
              <w:pStyle w:val="Compact"/>
              <w:jc w:val="right"/>
            </w:pPr>
            <w:r>
              <w:t xml:space="preserve">1,578</w:t>
            </w:r>
          </w:p>
        </w:tc>
      </w:tr>
      <w:tr>
        <w:tc>
          <w:tcPr/>
          <w:p>
            <w:pPr>
              <w:pStyle w:val="Compact"/>
            </w:pPr>
            <w:r>
              <w:t xml:space="preserve">20,000</w:t>
            </w:r>
          </w:p>
        </w:tc>
        <w:tc>
          <w:tcPr/>
          <w:p>
            <w:pPr>
              <w:pStyle w:val="Compact"/>
              <w:jc w:val="right"/>
            </w:pPr>
            <w:r>
              <w:t xml:space="preserve">81</w:t>
            </w:r>
          </w:p>
        </w:tc>
        <w:tc>
          <w:tcPr/>
          <w:p>
            <w:pPr>
              <w:pStyle w:val="Compact"/>
              <w:jc w:val="right"/>
            </w:pPr>
            <w:r>
              <w:t xml:space="preserve">1,812</w:t>
            </w:r>
          </w:p>
        </w:tc>
        <w:tc>
          <w:tcPr/>
          <w:p>
            <w:pPr>
              <w:pStyle w:val="Compact"/>
              <w:jc w:val="right"/>
            </w:pPr>
            <w:r>
              <w:t xml:space="preserve">820</w:t>
            </w:r>
          </w:p>
        </w:tc>
      </w:tr>
      <w:tr>
        <w:tc>
          <w:tcPr/>
          <w:p>
            <w:pPr>
              <w:pStyle w:val="Compact"/>
            </w:pPr>
            <w:r>
              <w:t xml:space="preserve">100,000</w:t>
            </w:r>
          </w:p>
        </w:tc>
        <w:tc>
          <w:tcPr/>
          <w:p>
            <w:pPr>
              <w:pStyle w:val="Compact"/>
              <w:jc w:val="right"/>
            </w:pPr>
            <w:r>
              <w:t xml:space="preserve">36</w:t>
            </w:r>
          </w:p>
        </w:tc>
        <w:tc>
          <w:tcPr/>
          <w:p>
            <w:pPr>
              <w:pStyle w:val="Compact"/>
              <w:jc w:val="right"/>
            </w:pPr>
            <w:r>
              <w:t xml:space="preserve">748</w:t>
            </w:r>
          </w:p>
        </w:tc>
        <w:tc>
          <w:tcPr/>
          <w:p>
            <w:pPr>
              <w:pStyle w:val="Compact"/>
              <w:jc w:val="right"/>
            </w:pPr>
            <w:r>
              <w:t xml:space="preserve">355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10,898</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9,400</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28,985</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34,581</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9,144</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71,110</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21,661</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21,244</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20,551</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23,045</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5,642</w:t>
            </w:r>
          </w:p>
        </w:tc>
        <w:tc>
          <w:tcPr/>
          <w:p>
            <w:pPr>
              <w:pStyle w:val="Compact"/>
              <w:jc w:val="right"/>
            </w:pPr>
            <w:r>
              <w:t xml:space="preserve">5,618</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5,062</w:t>
            </w:r>
          </w:p>
        </w:tc>
        <w:tc>
          <w:tcPr/>
          <w:p>
            <w:pPr>
              <w:pStyle w:val="Compact"/>
              <w:jc w:val="right"/>
            </w:pPr>
            <w:r>
              <w:t xml:space="preserve">10,337</w:t>
            </w:r>
          </w:p>
        </w:tc>
        <w:tc>
          <w:tcPr/>
          <w:p>
            <w:pPr>
              <w:pStyle w:val="Compact"/>
              <w:jc w:val="right"/>
            </w:pPr>
            <w:r>
              <w:t xml:space="preserve">0.48</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4,874</w:t>
            </w:r>
          </w:p>
        </w:tc>
        <w:tc>
          <w:tcPr/>
          <w:p>
            <w:pPr>
              <w:pStyle w:val="Compact"/>
              <w:jc w:val="right"/>
            </w:pPr>
            <w:r>
              <w:t xml:space="preserve">13,540</w:t>
            </w:r>
          </w:p>
        </w:tc>
        <w:tc>
          <w:tcPr/>
          <w:p>
            <w:pPr>
              <w:pStyle w:val="Compact"/>
              <w:jc w:val="right"/>
            </w:pPr>
            <w:r>
              <w:t xml:space="preserve">0.63</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4,886</w:t>
            </w:r>
          </w:p>
        </w:tc>
        <w:tc>
          <w:tcPr/>
          <w:p>
            <w:pPr>
              <w:pStyle w:val="Compact"/>
              <w:jc w:val="right"/>
            </w:pPr>
            <w:r>
              <w:t xml:space="preserve">22,696</w:t>
            </w:r>
          </w:p>
        </w:tc>
        <w:tc>
          <w:tcPr/>
          <w:p>
            <w:pPr>
              <w:pStyle w:val="Compact"/>
              <w:jc w:val="right"/>
            </w:pPr>
            <w:r>
              <w:t xml:space="preserve">1.06</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4,165</w:t>
            </w:r>
          </w:p>
        </w:tc>
        <w:tc>
          <w:tcPr/>
          <w:p>
            <w:pPr>
              <w:pStyle w:val="Compact"/>
              <w:jc w:val="right"/>
            </w:pPr>
            <w:r>
              <w:t xml:space="preserve">55,058</w:t>
            </w:r>
          </w:p>
        </w:tc>
        <w:tc>
          <w:tcPr/>
          <w:p>
            <w:pPr>
              <w:pStyle w:val="Compact"/>
              <w:jc w:val="right"/>
            </w:pPr>
            <w:r>
              <w:t xml:space="preserve">2.57</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18,966</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138,299</w:t>
            </w:r>
          </w:p>
        </w:tc>
        <w:tc>
          <w:tcPr/>
          <w:p>
            <w:pPr>
              <w:pStyle w:val="Compact"/>
              <w:jc w:val="right"/>
            </w:pPr>
            <w:r>
              <w:t xml:space="preserve">6.44</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21,926</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21,342</w:t>
            </w:r>
          </w:p>
        </w:tc>
        <w:tc>
          <w:tcPr/>
          <w:p>
            <w:pPr>
              <w:pStyle w:val="Compact"/>
              <w:jc w:val="right"/>
            </w:pPr>
            <w:r>
              <w:t xml:space="preserve">0.99</w:t>
            </w:r>
          </w:p>
        </w:tc>
      </w:tr>
    </w:tbl>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27,247</w:t>
            </w:r>
          </w:p>
        </w:tc>
        <w:tc>
          <w:tcPr/>
          <w:p>
            <w:pPr>
              <w:pStyle w:val="Compact"/>
              <w:jc w:val="right"/>
            </w:pPr>
            <w:r>
              <w:t xml:space="preserve">1.82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27,247</w:t>
            </w:r>
          </w:p>
        </w:tc>
        <w:tc>
          <w:tcPr/>
          <w:p>
            <w:pPr>
              <w:pStyle w:val="Compact"/>
              <w:jc w:val="right"/>
            </w:pPr>
            <w:r>
              <w:t xml:space="preserve">0.50</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27,247</w:t>
            </w:r>
          </w:p>
        </w:tc>
        <w:tc>
          <w:tcPr/>
          <w:p>
            <w:pPr>
              <w:pStyle w:val="Compact"/>
              <w:jc w:val="right"/>
            </w:pPr>
            <w:r>
              <w:t xml:space="preserve">0.34</w:t>
            </w:r>
          </w:p>
        </w:tc>
      </w:tr>
    </w:tbl>
    <w:p>
      <w:pPr>
        <w:pStyle w:val="BodyText"/>
      </w:pPr>
      <w:r>
        <w:rPr>
          <w:b/>
          <w:bCs/>
        </w:rPr>
        <w:t xml:space="preserve">Table A6.</w:t>
      </w:r>
      <w:r>
        <w:t xml:space="preserve"> </w:t>
      </w:r>
      <w:r>
        <w:t xml:space="preserve">Frequency, severity and Tweedie model estimates, as multiplicative effects on the fitted mean.</w:t>
      </w:r>
    </w:p>
    <w:p>
      <w:pPr>
        <w:pStyle w:val="BodyText"/>
      </w:pPr>
      <w:r>
        <w:rPr>
          <w:i/>
          <w:iCs/>
        </w:rPr>
        <w:t xml:space="preserve">exp(coef);</w:t>
      </w:r>
      <w:r>
        <w:rPr>
          <w:i/>
          <w:iCs/>
        </w:rPr>
        <w:t xml:space="preserve"> </w:t>
      </w:r>
      <w:r>
        <w:t xml:space="preserve"> </w:t>
      </w:r>
      <w:r>
        <w:t xml:space="preserve">marks p &lt; 0.05. Survey-weighted, standard errors clustered on the enumeration area. Coefficients, standard errors and z statistics are in output/tables/table4_cost_models.csv. Reference categories: age 25-44, North Central, quintile 1.*</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Term</w:t>
            </w:r>
          </w:p>
        </w:tc>
        <w:tc>
          <w:tcPr/>
          <w:p>
            <w:pPr>
              <w:pStyle w:val="Compact"/>
              <w:jc w:val="right"/>
            </w:pPr>
            <w:r>
              <w:t xml:space="preserve">Outpatient rate</w:t>
            </w:r>
          </w:p>
        </w:tc>
        <w:tc>
          <w:tcPr/>
          <w:p>
            <w:pPr>
              <w:pStyle w:val="Compact"/>
              <w:jc w:val="right"/>
            </w:pPr>
            <w:r>
              <w:t xml:space="preserve">Inpatient rate</w:t>
            </w:r>
          </w:p>
        </w:tc>
        <w:tc>
          <w:tcPr/>
          <w:p>
            <w:pPr>
              <w:pStyle w:val="Compact"/>
              <w:jc w:val="right"/>
            </w:pPr>
            <w:r>
              <w:t xml:space="preserve">Outpatient cost</w:t>
            </w:r>
          </w:p>
        </w:tc>
        <w:tc>
          <w:tcPr/>
          <w:p>
            <w:pPr>
              <w:pStyle w:val="Compact"/>
              <w:jc w:val="right"/>
            </w:pPr>
            <w:r>
              <w:t xml:space="preserve">Inpatient cost</w:t>
            </w:r>
          </w:p>
        </w:tc>
        <w:tc>
          <w:tcPr/>
          <w:p>
            <w:pPr>
              <w:pStyle w:val="Compact"/>
              <w:jc w:val="right"/>
            </w:pPr>
            <w:r>
              <w:t xml:space="preserve">Annual cost (Tweedie)</w:t>
            </w:r>
          </w:p>
        </w:tc>
      </w:tr>
      <w:tr>
        <w:tc>
          <w:tcPr/>
          <w:p>
            <w:pPr>
              <w:pStyle w:val="Compact"/>
            </w:pPr>
            <w:r>
              <w:t xml:space="preserve">Intercept</w:t>
            </w:r>
          </w:p>
        </w:tc>
        <w:tc>
          <w:tcPr/>
          <w:p>
            <w:pPr>
              <w:pStyle w:val="Compact"/>
              <w:jc w:val="right"/>
            </w:pPr>
            <w:r>
              <w:t xml:space="preserve">1.943*</w:t>
            </w:r>
          </w:p>
        </w:tc>
        <w:tc>
          <w:tcPr/>
          <w:p>
            <w:pPr>
              <w:pStyle w:val="Compact"/>
              <w:jc w:val="right"/>
            </w:pPr>
            <w:r>
              <w:t xml:space="preserve">0.018*</w:t>
            </w:r>
          </w:p>
        </w:tc>
        <w:tc>
          <w:tcPr/>
          <w:p>
            <w:pPr>
              <w:pStyle w:val="Compact"/>
              <w:jc w:val="right"/>
            </w:pPr>
            <w:r>
              <w:t xml:space="preserve">4376.717*</w:t>
            </w:r>
          </w:p>
        </w:tc>
        <w:tc>
          <w:tcPr/>
          <w:p>
            <w:pPr>
              <w:pStyle w:val="Compact"/>
              <w:jc w:val="right"/>
            </w:pPr>
            <w:r>
              <w:t xml:space="preserve">12242.037*</w:t>
            </w:r>
          </w:p>
        </w:tc>
        <w:tc>
          <w:tcPr/>
          <w:p>
            <w:pPr>
              <w:pStyle w:val="Compact"/>
              <w:jc w:val="right"/>
            </w:pPr>
            <w:r>
              <w:t xml:space="preserve">8116.020*</w:t>
            </w:r>
          </w:p>
        </w:tc>
      </w:tr>
      <w:tr>
        <w:tc>
          <w:tcPr/>
          <w:p>
            <w:pPr>
              <w:pStyle w:val="Compact"/>
            </w:pPr>
            <w:r>
              <w:t xml:space="preserve">age_band 0-4</w:t>
            </w:r>
          </w:p>
        </w:tc>
        <w:tc>
          <w:tcPr/>
          <w:p>
            <w:pPr>
              <w:pStyle w:val="Compact"/>
              <w:jc w:val="right"/>
            </w:pPr>
            <w:r>
              <w:t xml:space="preserve">1.204*</w:t>
            </w:r>
          </w:p>
        </w:tc>
        <w:tc>
          <w:tcPr/>
          <w:p>
            <w:pPr>
              <w:pStyle w:val="Compact"/>
              <w:jc w:val="right"/>
            </w:pPr>
            <w:r>
              <w:t xml:space="preserve">0.575</w:t>
            </w:r>
          </w:p>
        </w:tc>
        <w:tc>
          <w:tcPr/>
          <w:p>
            <w:pPr>
              <w:pStyle w:val="Compact"/>
              <w:jc w:val="right"/>
            </w:pPr>
            <w:r>
              <w:t xml:space="preserve">0.465*</w:t>
            </w:r>
          </w:p>
        </w:tc>
        <w:tc>
          <w:tcPr/>
          <w:p>
            <w:pPr>
              <w:pStyle w:val="Compact"/>
              <w:jc w:val="right"/>
            </w:pPr>
            <w:r>
              <w:t xml:space="preserve">0.283*</w:t>
            </w:r>
          </w:p>
        </w:tc>
        <w:tc>
          <w:tcPr/>
          <w:p>
            <w:pPr>
              <w:pStyle w:val="Compact"/>
              <w:jc w:val="right"/>
            </w:pPr>
            <w:r>
              <w:t xml:space="preserve">0.564*</w:t>
            </w:r>
          </w:p>
        </w:tc>
      </w:tr>
      <w:tr>
        <w:tc>
          <w:tcPr/>
          <w:p>
            <w:pPr>
              <w:pStyle w:val="Compact"/>
            </w:pPr>
            <w:r>
              <w:t xml:space="preserve">age_band 15-24</w:t>
            </w:r>
          </w:p>
        </w:tc>
        <w:tc>
          <w:tcPr/>
          <w:p>
            <w:pPr>
              <w:pStyle w:val="Compact"/>
              <w:jc w:val="right"/>
            </w:pPr>
            <w:r>
              <w:t xml:space="preserve">0.663*</w:t>
            </w:r>
          </w:p>
        </w:tc>
        <w:tc>
          <w:tcPr/>
          <w:p>
            <w:pPr>
              <w:pStyle w:val="Compact"/>
              <w:jc w:val="right"/>
            </w:pPr>
            <w:r>
              <w:t xml:space="preserve">0.630*</w:t>
            </w:r>
          </w:p>
        </w:tc>
        <w:tc>
          <w:tcPr/>
          <w:p>
            <w:pPr>
              <w:pStyle w:val="Compact"/>
              <w:jc w:val="right"/>
            </w:pPr>
            <w:r>
              <w:t xml:space="preserve">0.590*</w:t>
            </w:r>
          </w:p>
        </w:tc>
        <w:tc>
          <w:tcPr/>
          <w:p>
            <w:pPr>
              <w:pStyle w:val="Compact"/>
              <w:jc w:val="right"/>
            </w:pPr>
            <w:r>
              <w:t xml:space="preserve">0.407*</w:t>
            </w:r>
          </w:p>
        </w:tc>
        <w:tc>
          <w:tcPr/>
          <w:p>
            <w:pPr>
              <w:pStyle w:val="Compact"/>
              <w:jc w:val="right"/>
            </w:pPr>
            <w:r>
              <w:t xml:space="preserve">0.382*</w:t>
            </w:r>
          </w:p>
        </w:tc>
      </w:tr>
      <w:tr>
        <w:tc>
          <w:tcPr/>
          <w:p>
            <w:pPr>
              <w:pStyle w:val="Compact"/>
            </w:pPr>
            <w:r>
              <w:t xml:space="preserve">age_band 45-59</w:t>
            </w:r>
          </w:p>
        </w:tc>
        <w:tc>
          <w:tcPr/>
          <w:p>
            <w:pPr>
              <w:pStyle w:val="Compact"/>
              <w:jc w:val="right"/>
            </w:pPr>
            <w:r>
              <w:t xml:space="preserve">1.175*</w:t>
            </w:r>
          </w:p>
        </w:tc>
        <w:tc>
          <w:tcPr/>
          <w:p>
            <w:pPr>
              <w:pStyle w:val="Compact"/>
              <w:jc w:val="right"/>
            </w:pPr>
            <w:r>
              <w:t xml:space="preserve">1.138</w:t>
            </w:r>
          </w:p>
        </w:tc>
        <w:tc>
          <w:tcPr/>
          <w:p>
            <w:pPr>
              <w:pStyle w:val="Compact"/>
              <w:jc w:val="right"/>
            </w:pPr>
            <w:r>
              <w:t xml:space="preserve">0.910</w:t>
            </w:r>
          </w:p>
        </w:tc>
        <w:tc>
          <w:tcPr/>
          <w:p>
            <w:pPr>
              <w:pStyle w:val="Compact"/>
              <w:jc w:val="right"/>
            </w:pPr>
            <w:r>
              <w:t xml:space="preserve">1.510</w:t>
            </w:r>
          </w:p>
        </w:tc>
        <w:tc>
          <w:tcPr/>
          <w:p>
            <w:pPr>
              <w:pStyle w:val="Compact"/>
              <w:jc w:val="right"/>
            </w:pPr>
            <w:r>
              <w:t xml:space="preserve">1.096</w:t>
            </w:r>
          </w:p>
        </w:tc>
      </w:tr>
      <w:tr>
        <w:tc>
          <w:tcPr/>
          <w:p>
            <w:pPr>
              <w:pStyle w:val="Compact"/>
            </w:pPr>
            <w:r>
              <w:t xml:space="preserve">age_band 5-14</w:t>
            </w:r>
          </w:p>
        </w:tc>
        <w:tc>
          <w:tcPr/>
          <w:p>
            <w:pPr>
              <w:pStyle w:val="Compact"/>
              <w:jc w:val="right"/>
            </w:pPr>
            <w:r>
              <w:t xml:space="preserve">0.841*</w:t>
            </w:r>
          </w:p>
        </w:tc>
        <w:tc>
          <w:tcPr/>
          <w:p>
            <w:pPr>
              <w:pStyle w:val="Compact"/>
              <w:jc w:val="right"/>
            </w:pPr>
            <w:r>
              <w:t xml:space="preserve">0.572*</w:t>
            </w:r>
          </w:p>
        </w:tc>
        <w:tc>
          <w:tcPr/>
          <w:p>
            <w:pPr>
              <w:pStyle w:val="Compact"/>
              <w:jc w:val="right"/>
            </w:pPr>
            <w:r>
              <w:t xml:space="preserve">0.499*</w:t>
            </w:r>
          </w:p>
        </w:tc>
        <w:tc>
          <w:tcPr/>
          <w:p>
            <w:pPr>
              <w:pStyle w:val="Compact"/>
              <w:jc w:val="right"/>
            </w:pPr>
            <w:r>
              <w:t xml:space="preserve">0.734</w:t>
            </w:r>
          </w:p>
        </w:tc>
        <w:tc>
          <w:tcPr/>
          <w:p>
            <w:pPr>
              <w:pStyle w:val="Compact"/>
              <w:jc w:val="right"/>
            </w:pPr>
            <w:r>
              <w:t xml:space="preserve">0.434*</w:t>
            </w:r>
          </w:p>
        </w:tc>
      </w:tr>
      <w:tr>
        <w:tc>
          <w:tcPr/>
          <w:p>
            <w:pPr>
              <w:pStyle w:val="Compact"/>
            </w:pPr>
            <w:r>
              <w:t xml:space="preserve">age_band 60+</w:t>
            </w:r>
          </w:p>
        </w:tc>
        <w:tc>
          <w:tcPr/>
          <w:p>
            <w:pPr>
              <w:pStyle w:val="Compact"/>
              <w:jc w:val="right"/>
            </w:pPr>
            <w:r>
              <w:t xml:space="preserve">1.654*</w:t>
            </w:r>
          </w:p>
        </w:tc>
        <w:tc>
          <w:tcPr/>
          <w:p>
            <w:pPr>
              <w:pStyle w:val="Compact"/>
              <w:jc w:val="right"/>
            </w:pPr>
            <w:r>
              <w:t xml:space="preserve">1.526*</w:t>
            </w:r>
          </w:p>
        </w:tc>
        <w:tc>
          <w:tcPr/>
          <w:p>
            <w:pPr>
              <w:pStyle w:val="Compact"/>
              <w:jc w:val="right"/>
            </w:pPr>
            <w:r>
              <w:t xml:space="preserve">1.060</w:t>
            </w:r>
          </w:p>
        </w:tc>
        <w:tc>
          <w:tcPr/>
          <w:p>
            <w:pPr>
              <w:pStyle w:val="Compact"/>
              <w:jc w:val="right"/>
            </w:pPr>
            <w:r>
              <w:t xml:space="preserve">1.282</w:t>
            </w:r>
          </w:p>
        </w:tc>
        <w:tc>
          <w:tcPr/>
          <w:p>
            <w:pPr>
              <w:pStyle w:val="Compact"/>
              <w:jc w:val="right"/>
            </w:pPr>
            <w:r>
              <w:t xml:space="preserve">1.756*</w:t>
            </w:r>
          </w:p>
        </w:tc>
      </w:tr>
      <w:tr>
        <w:tc>
          <w:tcPr/>
          <w:p>
            <w:pPr>
              <w:pStyle w:val="Compact"/>
            </w:pPr>
            <w:r>
              <w:t xml:space="preserve">zone North East</w:t>
            </w:r>
          </w:p>
        </w:tc>
        <w:tc>
          <w:tcPr/>
          <w:p>
            <w:pPr>
              <w:pStyle w:val="Compact"/>
              <w:jc w:val="right"/>
            </w:pPr>
            <w:r>
              <w:t xml:space="preserve">1.102</w:t>
            </w:r>
          </w:p>
        </w:tc>
        <w:tc>
          <w:tcPr/>
          <w:p>
            <w:pPr>
              <w:pStyle w:val="Compact"/>
              <w:jc w:val="right"/>
            </w:pPr>
            <w:r>
              <w:t xml:space="preserve">0.484*</w:t>
            </w:r>
          </w:p>
        </w:tc>
        <w:tc>
          <w:tcPr/>
          <w:p>
            <w:pPr>
              <w:pStyle w:val="Compact"/>
              <w:jc w:val="right"/>
            </w:pPr>
            <w:r>
              <w:t xml:space="preserve">0.796*</w:t>
            </w:r>
          </w:p>
        </w:tc>
        <w:tc>
          <w:tcPr/>
          <w:p>
            <w:pPr>
              <w:pStyle w:val="Compact"/>
            </w:pPr>
          </w:p>
        </w:tc>
        <w:tc>
          <w:tcPr/>
          <w:p>
            <w:pPr>
              <w:pStyle w:val="Compact"/>
              <w:jc w:val="right"/>
            </w:pPr>
            <w:r>
              <w:t xml:space="preserve">0.816</w:t>
            </w:r>
          </w:p>
        </w:tc>
      </w:tr>
      <w:tr>
        <w:tc>
          <w:tcPr/>
          <w:p>
            <w:pPr>
              <w:pStyle w:val="Compact"/>
            </w:pPr>
            <w:r>
              <w:t xml:space="preserve">zone North West</w:t>
            </w:r>
          </w:p>
        </w:tc>
        <w:tc>
          <w:tcPr/>
          <w:p>
            <w:pPr>
              <w:pStyle w:val="Compact"/>
              <w:jc w:val="right"/>
            </w:pPr>
            <w:r>
              <w:t xml:space="preserve">0.919</w:t>
            </w:r>
          </w:p>
        </w:tc>
        <w:tc>
          <w:tcPr/>
          <w:p>
            <w:pPr>
              <w:pStyle w:val="Compact"/>
              <w:jc w:val="right"/>
            </w:pPr>
            <w:r>
              <w:t xml:space="preserve">0.401*</w:t>
            </w:r>
          </w:p>
        </w:tc>
        <w:tc>
          <w:tcPr/>
          <w:p>
            <w:pPr>
              <w:pStyle w:val="Compact"/>
              <w:jc w:val="right"/>
            </w:pPr>
            <w:r>
              <w:t xml:space="preserve">0.646*</w:t>
            </w:r>
          </w:p>
        </w:tc>
        <w:tc>
          <w:tcPr/>
          <w:p>
            <w:pPr>
              <w:pStyle w:val="Compact"/>
            </w:pPr>
          </w:p>
        </w:tc>
        <w:tc>
          <w:tcPr/>
          <w:p>
            <w:pPr>
              <w:pStyle w:val="Compact"/>
              <w:jc w:val="right"/>
            </w:pPr>
            <w:r>
              <w:t xml:space="preserve">0.565*</w:t>
            </w:r>
          </w:p>
        </w:tc>
      </w:tr>
      <w:tr>
        <w:tc>
          <w:tcPr/>
          <w:p>
            <w:pPr>
              <w:pStyle w:val="Compact"/>
            </w:pPr>
            <w:r>
              <w:t xml:space="preserve">zone South East</w:t>
            </w:r>
          </w:p>
        </w:tc>
        <w:tc>
          <w:tcPr/>
          <w:p>
            <w:pPr>
              <w:pStyle w:val="Compact"/>
              <w:jc w:val="right"/>
            </w:pPr>
            <w:r>
              <w:t xml:space="preserve">1.087</w:t>
            </w:r>
          </w:p>
        </w:tc>
        <w:tc>
          <w:tcPr/>
          <w:p>
            <w:pPr>
              <w:pStyle w:val="Compact"/>
              <w:jc w:val="right"/>
            </w:pPr>
            <w:r>
              <w:t xml:space="preserve">0.402*</w:t>
            </w:r>
          </w:p>
        </w:tc>
        <w:tc>
          <w:tcPr/>
          <w:p>
            <w:pPr>
              <w:pStyle w:val="Compact"/>
              <w:jc w:val="right"/>
            </w:pPr>
            <w:r>
              <w:t xml:space="preserve">0.996</w:t>
            </w:r>
          </w:p>
        </w:tc>
        <w:tc>
          <w:tcPr/>
          <w:p>
            <w:pPr>
              <w:pStyle w:val="Compact"/>
            </w:pPr>
          </w:p>
        </w:tc>
        <w:tc>
          <w:tcPr/>
          <w:p>
            <w:pPr>
              <w:pStyle w:val="Compact"/>
              <w:jc w:val="right"/>
            </w:pPr>
            <w:r>
              <w:t xml:space="preserve">1.018</w:t>
            </w:r>
          </w:p>
        </w:tc>
      </w:tr>
      <w:tr>
        <w:tc>
          <w:tcPr/>
          <w:p>
            <w:pPr>
              <w:pStyle w:val="Compact"/>
            </w:pPr>
            <w:r>
              <w:t xml:space="preserve">zone South South</w:t>
            </w:r>
          </w:p>
        </w:tc>
        <w:tc>
          <w:tcPr/>
          <w:p>
            <w:pPr>
              <w:pStyle w:val="Compact"/>
              <w:jc w:val="right"/>
            </w:pPr>
            <w:r>
              <w:t xml:space="preserve">1.107</w:t>
            </w:r>
          </w:p>
        </w:tc>
        <w:tc>
          <w:tcPr/>
          <w:p>
            <w:pPr>
              <w:pStyle w:val="Compact"/>
              <w:jc w:val="right"/>
            </w:pPr>
            <w:r>
              <w:t xml:space="preserve">0.372*</w:t>
            </w:r>
          </w:p>
        </w:tc>
        <w:tc>
          <w:tcPr/>
          <w:p>
            <w:pPr>
              <w:pStyle w:val="Compact"/>
              <w:jc w:val="right"/>
            </w:pPr>
            <w:r>
              <w:t xml:space="preserve">0.921</w:t>
            </w:r>
          </w:p>
        </w:tc>
        <w:tc>
          <w:tcPr/>
          <w:p>
            <w:pPr>
              <w:pStyle w:val="Compact"/>
            </w:pPr>
          </w:p>
        </w:tc>
        <w:tc>
          <w:tcPr/>
          <w:p>
            <w:pPr>
              <w:pStyle w:val="Compact"/>
              <w:jc w:val="right"/>
            </w:pPr>
            <w:r>
              <w:t xml:space="preserve">0.948</w:t>
            </w:r>
          </w:p>
        </w:tc>
      </w:tr>
      <w:tr>
        <w:tc>
          <w:tcPr/>
          <w:p>
            <w:pPr>
              <w:pStyle w:val="Compact"/>
            </w:pPr>
            <w:r>
              <w:t xml:space="preserve">zone South West</w:t>
            </w:r>
          </w:p>
        </w:tc>
        <w:tc>
          <w:tcPr/>
          <w:p>
            <w:pPr>
              <w:pStyle w:val="Compact"/>
              <w:jc w:val="right"/>
            </w:pPr>
            <w:r>
              <w:t xml:space="preserve">0.714*</w:t>
            </w:r>
          </w:p>
        </w:tc>
        <w:tc>
          <w:tcPr/>
          <w:p>
            <w:pPr>
              <w:pStyle w:val="Compact"/>
              <w:jc w:val="right"/>
            </w:pPr>
            <w:r>
              <w:t xml:space="preserve">0.176*</w:t>
            </w:r>
          </w:p>
        </w:tc>
        <w:tc>
          <w:tcPr/>
          <w:p>
            <w:pPr>
              <w:pStyle w:val="Compact"/>
              <w:jc w:val="right"/>
            </w:pPr>
            <w:r>
              <w:t xml:space="preserve">0.841</w:t>
            </w:r>
          </w:p>
        </w:tc>
        <w:tc>
          <w:tcPr/>
          <w:p>
            <w:pPr>
              <w:pStyle w:val="Compact"/>
            </w:pPr>
          </w:p>
        </w:tc>
        <w:tc>
          <w:tcPr/>
          <w:p>
            <w:pPr>
              <w:pStyle w:val="Compact"/>
              <w:jc w:val="right"/>
            </w:pPr>
            <w:r>
              <w:t xml:space="preserve">0.586*</w:t>
            </w:r>
          </w:p>
        </w:tc>
      </w:tr>
      <w:tr>
        <w:tc>
          <w:tcPr/>
          <w:p>
            <w:pPr>
              <w:pStyle w:val="Compact"/>
            </w:pPr>
            <w:r>
              <w:t xml:space="preserve">quintile 2</w:t>
            </w:r>
          </w:p>
        </w:tc>
        <w:tc>
          <w:tcPr/>
          <w:p>
            <w:pPr>
              <w:pStyle w:val="Compact"/>
              <w:jc w:val="right"/>
            </w:pPr>
            <w:r>
              <w:t xml:space="preserve">1.306*</w:t>
            </w:r>
          </w:p>
        </w:tc>
        <w:tc>
          <w:tcPr/>
          <w:p>
            <w:pPr>
              <w:pStyle w:val="Compact"/>
              <w:jc w:val="right"/>
            </w:pPr>
            <w:r>
              <w:t xml:space="preserve">2.619*</w:t>
            </w:r>
          </w:p>
        </w:tc>
        <w:tc>
          <w:tcPr/>
          <w:p>
            <w:pPr>
              <w:pStyle w:val="Compact"/>
              <w:jc w:val="right"/>
            </w:pPr>
            <w:r>
              <w:t xml:space="preserve">1.237*</w:t>
            </w:r>
          </w:p>
        </w:tc>
        <w:tc>
          <w:tcPr/>
          <w:p>
            <w:pPr>
              <w:pStyle w:val="Compact"/>
              <w:jc w:val="right"/>
            </w:pPr>
            <w:r>
              <w:t xml:space="preserve">2.961*</w:t>
            </w:r>
          </w:p>
        </w:tc>
        <w:tc>
          <w:tcPr/>
          <w:p>
            <w:pPr>
              <w:pStyle w:val="Compact"/>
              <w:jc w:val="right"/>
            </w:pPr>
            <w:r>
              <w:t xml:space="preserve">1.766*</w:t>
            </w:r>
          </w:p>
        </w:tc>
      </w:tr>
      <w:tr>
        <w:tc>
          <w:tcPr/>
          <w:p>
            <w:pPr>
              <w:pStyle w:val="Compact"/>
            </w:pPr>
            <w:r>
              <w:t xml:space="preserve">quintile 3</w:t>
            </w:r>
          </w:p>
        </w:tc>
        <w:tc>
          <w:tcPr/>
          <w:p>
            <w:pPr>
              <w:pStyle w:val="Compact"/>
              <w:jc w:val="right"/>
            </w:pPr>
            <w:r>
              <w:t xml:space="preserve">1.627*</w:t>
            </w:r>
          </w:p>
        </w:tc>
        <w:tc>
          <w:tcPr/>
          <w:p>
            <w:pPr>
              <w:pStyle w:val="Compact"/>
              <w:jc w:val="right"/>
            </w:pPr>
            <w:r>
              <w:t xml:space="preserve">2.628*</w:t>
            </w:r>
          </w:p>
        </w:tc>
        <w:tc>
          <w:tcPr/>
          <w:p>
            <w:pPr>
              <w:pStyle w:val="Compact"/>
              <w:jc w:val="right"/>
            </w:pPr>
            <w:r>
              <w:t xml:space="preserve">1.293*</w:t>
            </w:r>
          </w:p>
        </w:tc>
        <w:tc>
          <w:tcPr/>
          <w:p>
            <w:pPr>
              <w:pStyle w:val="Compact"/>
              <w:jc w:val="right"/>
            </w:pPr>
            <w:r>
              <w:t xml:space="preserve">2.772*</w:t>
            </w:r>
          </w:p>
        </w:tc>
        <w:tc>
          <w:tcPr/>
          <w:p>
            <w:pPr>
              <w:pStyle w:val="Compact"/>
              <w:jc w:val="right"/>
            </w:pPr>
            <w:r>
              <w:t xml:space="preserve">2.345*</w:t>
            </w:r>
          </w:p>
        </w:tc>
      </w:tr>
      <w:tr>
        <w:tc>
          <w:tcPr/>
          <w:p>
            <w:pPr>
              <w:pStyle w:val="Compact"/>
            </w:pPr>
            <w:r>
              <w:t xml:space="preserve">quintile 4</w:t>
            </w:r>
          </w:p>
        </w:tc>
        <w:tc>
          <w:tcPr/>
          <w:p>
            <w:pPr>
              <w:pStyle w:val="Compact"/>
              <w:jc w:val="right"/>
            </w:pPr>
            <w:r>
              <w:t xml:space="preserve">1.706*</w:t>
            </w:r>
          </w:p>
        </w:tc>
        <w:tc>
          <w:tcPr/>
          <w:p>
            <w:pPr>
              <w:pStyle w:val="Compact"/>
              <w:jc w:val="right"/>
            </w:pPr>
            <w:r>
              <w:t xml:space="preserve">3.497*</w:t>
            </w:r>
          </w:p>
        </w:tc>
        <w:tc>
          <w:tcPr/>
          <w:p>
            <w:pPr>
              <w:pStyle w:val="Compact"/>
              <w:jc w:val="right"/>
            </w:pPr>
            <w:r>
              <w:t xml:space="preserve">1.712*</w:t>
            </w:r>
          </w:p>
        </w:tc>
        <w:tc>
          <w:tcPr/>
          <w:p>
            <w:pPr>
              <w:pStyle w:val="Compact"/>
              <w:jc w:val="right"/>
            </w:pPr>
            <w:r>
              <w:t xml:space="preserve">5.042*</w:t>
            </w:r>
          </w:p>
        </w:tc>
        <w:tc>
          <w:tcPr/>
          <w:p>
            <w:pPr>
              <w:pStyle w:val="Compact"/>
              <w:jc w:val="right"/>
            </w:pPr>
            <w:r>
              <w:t xml:space="preserve">3.351*</w:t>
            </w:r>
          </w:p>
        </w:tc>
      </w:tr>
      <w:tr>
        <w:tc>
          <w:tcPr/>
          <w:p>
            <w:pPr>
              <w:pStyle w:val="Compact"/>
            </w:pPr>
            <w:r>
              <w:t xml:space="preserve">quintile 5</w:t>
            </w:r>
          </w:p>
        </w:tc>
        <w:tc>
          <w:tcPr/>
          <w:p>
            <w:pPr>
              <w:pStyle w:val="Compact"/>
              <w:jc w:val="right"/>
            </w:pPr>
            <w:r>
              <w:t xml:space="preserve">1.988*</w:t>
            </w:r>
          </w:p>
        </w:tc>
        <w:tc>
          <w:tcPr/>
          <w:p>
            <w:pPr>
              <w:pStyle w:val="Compact"/>
              <w:jc w:val="right"/>
            </w:pPr>
            <w:r>
              <w:t xml:space="preserve">5.732*</w:t>
            </w:r>
          </w:p>
        </w:tc>
        <w:tc>
          <w:tcPr/>
          <w:p>
            <w:pPr>
              <w:pStyle w:val="Compact"/>
              <w:jc w:val="right"/>
            </w:pPr>
            <w:r>
              <w:t xml:space="preserve">3.044*</w:t>
            </w:r>
          </w:p>
        </w:tc>
        <w:tc>
          <w:tcPr/>
          <w:p>
            <w:pPr>
              <w:pStyle w:val="Compact"/>
              <w:jc w:val="right"/>
            </w:pPr>
            <w:r>
              <w:t xml:space="preserve">5.932*</w:t>
            </w:r>
          </w:p>
        </w:tc>
        <w:tc>
          <w:tcPr/>
          <w:p>
            <w:pPr>
              <w:pStyle w:val="Compact"/>
              <w:jc w:val="right"/>
            </w:pPr>
            <w:r>
              <w:t xml:space="preserve">6.936*</w:t>
            </w:r>
          </w:p>
        </w:tc>
      </w:tr>
      <w:tr>
        <w:tc>
          <w:tcPr/>
          <w:p>
            <w:pPr>
              <w:pStyle w:val="Compact"/>
            </w:pPr>
            <w:r>
              <w:t xml:space="preserve">female</w:t>
            </w:r>
          </w:p>
        </w:tc>
        <w:tc>
          <w:tcPr/>
          <w:p>
            <w:pPr>
              <w:pStyle w:val="Compact"/>
              <w:jc w:val="right"/>
            </w:pPr>
            <w:r>
              <w:t xml:space="preserve">1.072*</w:t>
            </w:r>
          </w:p>
        </w:tc>
        <w:tc>
          <w:tcPr/>
          <w:p>
            <w:pPr>
              <w:pStyle w:val="Compact"/>
              <w:jc w:val="right"/>
            </w:pPr>
            <w:r>
              <w:t xml:space="preserve">1.103</w:t>
            </w:r>
          </w:p>
        </w:tc>
        <w:tc>
          <w:tcPr/>
          <w:p>
            <w:pPr>
              <w:pStyle w:val="Compact"/>
              <w:jc w:val="right"/>
            </w:pPr>
            <w:r>
              <w:t xml:space="preserve">0.867*</w:t>
            </w:r>
          </w:p>
        </w:tc>
        <w:tc>
          <w:tcPr/>
          <w:p>
            <w:pPr>
              <w:pStyle w:val="Compact"/>
              <w:jc w:val="right"/>
            </w:pPr>
            <w:r>
              <w:t xml:space="preserve">0.901</w:t>
            </w:r>
          </w:p>
        </w:tc>
        <w:tc>
          <w:tcPr/>
          <w:p>
            <w:pPr>
              <w:pStyle w:val="Compact"/>
              <w:jc w:val="right"/>
            </w:pPr>
            <w:r>
              <w:t xml:space="preserve">0.948</w:t>
            </w:r>
          </w:p>
        </w:tc>
      </w:tr>
      <w:tr>
        <w:tc>
          <w:tcPr/>
          <w:p>
            <w:pPr>
              <w:pStyle w:val="Compact"/>
            </w:pPr>
            <w:r>
              <w:t xml:space="preserve">urban</w:t>
            </w:r>
          </w:p>
        </w:tc>
        <w:tc>
          <w:tcPr/>
          <w:p>
            <w:pPr>
              <w:pStyle w:val="Compact"/>
              <w:jc w:val="right"/>
            </w:pPr>
            <w:r>
              <w:t xml:space="preserve">1.049</w:t>
            </w:r>
          </w:p>
        </w:tc>
        <w:tc>
          <w:tcPr/>
          <w:p>
            <w:pPr>
              <w:pStyle w:val="Compact"/>
              <w:jc w:val="right"/>
            </w:pPr>
            <w:r>
              <w:t xml:space="preserve">1.569*</w:t>
            </w:r>
          </w:p>
        </w:tc>
        <w:tc>
          <w:tcPr/>
          <w:p>
            <w:pPr>
              <w:pStyle w:val="Compact"/>
              <w:jc w:val="right"/>
            </w:pPr>
            <w:r>
              <w:t xml:space="preserve">1.069</w:t>
            </w:r>
          </w:p>
        </w:tc>
        <w:tc>
          <w:tcPr/>
          <w:p>
            <w:pPr>
              <w:pStyle w:val="Compact"/>
              <w:jc w:val="right"/>
            </w:pPr>
            <w:r>
              <w:t xml:space="preserve">0.684*</w:t>
            </w:r>
          </w:p>
        </w:tc>
        <w:tc>
          <w:tcPr/>
          <w:p>
            <w:pPr>
              <w:pStyle w:val="Compact"/>
              <w:jc w:val="right"/>
            </w:pPr>
            <w:r>
              <w:t xml:space="preserve">1.049</w:t>
            </w:r>
          </w:p>
        </w:tc>
      </w:tr>
      <w:tr>
        <w:tc>
          <w:tcPr/>
          <w:p>
            <w:pPr>
              <w:pStyle w:val="Compact"/>
            </w:pPr>
            <w:r>
              <w:t xml:space="preserve">chronic</w:t>
            </w:r>
          </w:p>
        </w:tc>
        <w:tc>
          <w:tcPr/>
          <w:p>
            <w:pPr>
              <w:pStyle w:val="Compact"/>
              <w:jc w:val="right"/>
            </w:pPr>
            <w:r>
              <w:t xml:space="preserve">1.704*</w:t>
            </w:r>
          </w:p>
        </w:tc>
        <w:tc>
          <w:tcPr/>
          <w:p>
            <w:pPr>
              <w:pStyle w:val="Compact"/>
              <w:jc w:val="right"/>
            </w:pPr>
            <w:r>
              <w:t xml:space="preserve">2.934*</w:t>
            </w:r>
          </w:p>
        </w:tc>
        <w:tc>
          <w:tcPr/>
          <w:p>
            <w:pPr>
              <w:pStyle w:val="Compact"/>
              <w:jc w:val="right"/>
            </w:pPr>
            <w:r>
              <w:t xml:space="preserve">1.622*</w:t>
            </w:r>
          </w:p>
        </w:tc>
        <w:tc>
          <w:tcPr/>
          <w:p>
            <w:pPr>
              <w:pStyle w:val="Compact"/>
            </w:pPr>
          </w:p>
        </w:tc>
        <w:tc>
          <w:tcPr/>
          <w:p>
            <w:pPr>
              <w:pStyle w:val="Compact"/>
              <w:jc w:val="right"/>
            </w:pPr>
            <w:r>
              <w:t xml:space="preserve">3.248*</w:t>
            </w:r>
          </w:p>
        </w:tc>
      </w:tr>
      <w:tr>
        <w:tc>
          <w:tcPr/>
          <w:p>
            <w:pPr>
              <w:pStyle w:val="Compact"/>
            </w:pPr>
            <w:r>
              <w:t xml:space="preserve">hhsize</w:t>
            </w:r>
          </w:p>
        </w:tc>
        <w:tc>
          <w:tcPr/>
          <w:p>
            <w:pPr>
              <w:pStyle w:val="Compact"/>
              <w:jc w:val="right"/>
            </w:pPr>
            <w:r>
              <w:t xml:space="preserve">0.988</w:t>
            </w:r>
          </w:p>
        </w:tc>
        <w:tc>
          <w:tcPr/>
          <w:p>
            <w:pPr>
              <w:pStyle w:val="Compact"/>
              <w:jc w:val="right"/>
            </w:pPr>
            <w:r>
              <w:t xml:space="preserve">1.016</w:t>
            </w:r>
          </w:p>
        </w:tc>
        <w:tc>
          <w:tcPr/>
          <w:p>
            <w:pPr>
              <w:pStyle w:val="Compact"/>
              <w:jc w:val="right"/>
            </w:pPr>
            <w:r>
              <w:t xml:space="preserve">1.038*</w:t>
            </w:r>
          </w:p>
        </w:tc>
        <w:tc>
          <w:tcPr/>
          <w:p>
            <w:pPr>
              <w:pStyle w:val="Compact"/>
            </w:pPr>
          </w:p>
        </w:tc>
        <w:tc>
          <w:tcPr/>
          <w:p>
            <w:pPr>
              <w:pStyle w:val="Compact"/>
              <w:jc w:val="right"/>
            </w:pPr>
            <w:r>
              <w:t xml:space="preserve">1.025*</w:t>
            </w:r>
          </w:p>
        </w:tc>
      </w:tr>
    </w:tbl>
    <w:p>
      <w:pPr>
        <w:pStyle w:val="BodyText"/>
      </w:pPr>
      <w:r>
        <w:rPr>
          <w:b/>
          <w:bCs/>
        </w:rPr>
        <w:t xml:space="preserve">Table A7.</w:t>
      </w:r>
      <w:r>
        <w:t xml:space="preserve"> </w:t>
      </w:r>
      <w:r>
        <w:t xml:space="preserve">Cost-model fit statistics, the Tweedie profile likelihood near its maximum, and calibration by decile of prediction.</w:t>
      </w:r>
    </w:p>
    <w:p>
      <w:pPr>
        <w:pStyle w:val="BodyText"/>
      </w:pPr>
      <w:r>
        <w:rPr>
          <w:i/>
          <w:iCs/>
        </w:rPr>
        <w:t xml:space="preserve">The full profile is in output/tables/tableA2_tweedie_profile.csv.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1.650</w:t>
            </w:r>
          </w:p>
        </w:tc>
      </w:tr>
      <w:tr>
        <w:tc>
          <w:tcPr/>
          <w:p>
            <w:pPr>
              <w:pStyle w:val="Compact"/>
            </w:pPr>
            <w:r>
              <w:t xml:space="preserve">Tweedie dispersion phi</w:t>
            </w:r>
          </w:p>
        </w:tc>
        <w:tc>
          <w:tcPr/>
          <w:p>
            <w:pPr>
              <w:pStyle w:val="Compact"/>
              <w:jc w:val="right"/>
            </w:pPr>
            <w:r>
              <w:t xml:space="preserve">428.478</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98,131.114</w:t>
            </w:r>
          </w:p>
        </w:tc>
      </w:tr>
      <w:tr>
        <w:tc>
          <w:tcPr/>
          <w:p>
            <w:pPr>
              <w:pStyle w:val="Compact"/>
            </w:pPr>
            <w:r>
              <w:t xml:space="preserve">AIC lognormal severity</w:t>
            </w:r>
          </w:p>
        </w:tc>
        <w:tc>
          <w:tcPr/>
          <w:p>
            <w:pPr>
              <w:pStyle w:val="Compact"/>
              <w:jc w:val="right"/>
            </w:pPr>
            <w:r>
              <w:t xml:space="preserve">95,298.669</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1.45</w:t>
            </w:r>
          </w:p>
        </w:tc>
        <w:tc>
          <w:tcPr/>
          <w:p>
            <w:pPr>
              <w:pStyle w:val="Compact"/>
              <w:jc w:val="right"/>
            </w:pPr>
            <w:r>
              <w:t xml:space="preserve">-79,307.6</w:t>
            </w:r>
          </w:p>
        </w:tc>
        <w:tc>
          <w:tcPr/>
          <w:p>
            <w:pPr>
              <w:pStyle w:val="Compact"/>
              <w:jc w:val="right"/>
            </w:pPr>
            <w:r>
              <w:t xml:space="preserve">21,326,453.7</w:t>
            </w:r>
          </w:p>
        </w:tc>
      </w:tr>
      <w:tr>
        <w:tc>
          <w:tcPr/>
          <w:p>
            <w:pPr>
              <w:pStyle w:val="Compact"/>
            </w:pPr>
            <w:r>
              <w:t xml:space="preserve">1.50</w:t>
            </w:r>
          </w:p>
        </w:tc>
        <w:tc>
          <w:tcPr/>
          <w:p>
            <w:pPr>
              <w:pStyle w:val="Compact"/>
              <w:jc w:val="right"/>
            </w:pPr>
            <w:r>
              <w:t xml:space="preserve">-78,599.0</w:t>
            </w:r>
          </w:p>
        </w:tc>
        <w:tc>
          <w:tcPr/>
          <w:p>
            <w:pPr>
              <w:pStyle w:val="Compact"/>
              <w:jc w:val="right"/>
            </w:pPr>
            <w:r>
              <w:t xml:space="preserve">13,707,933.5</w:t>
            </w:r>
          </w:p>
        </w:tc>
      </w:tr>
      <w:tr>
        <w:tc>
          <w:tcPr/>
          <w:p>
            <w:pPr>
              <w:pStyle w:val="Compact"/>
            </w:pPr>
            <w:r>
              <w:t xml:space="preserve">1.55</w:t>
            </w:r>
          </w:p>
        </w:tc>
        <w:tc>
          <w:tcPr/>
          <w:p>
            <w:pPr>
              <w:pStyle w:val="Compact"/>
              <w:jc w:val="right"/>
            </w:pPr>
            <w:r>
              <w:t xml:space="preserve">-78,152.7</w:t>
            </w:r>
          </w:p>
        </w:tc>
        <w:tc>
          <w:tcPr/>
          <w:p>
            <w:pPr>
              <w:pStyle w:val="Compact"/>
              <w:jc w:val="right"/>
            </w:pPr>
            <w:r>
              <w:t xml:space="preserve">8,934,017.0</w:t>
            </w:r>
          </w:p>
        </w:tc>
      </w:tr>
      <w:tr>
        <w:tc>
          <w:tcPr/>
          <w:p>
            <w:pPr>
              <w:pStyle w:val="Compact"/>
            </w:pPr>
            <w:r>
              <w:t xml:space="preserve">1.60</w:t>
            </w:r>
          </w:p>
        </w:tc>
        <w:tc>
          <w:tcPr/>
          <w:p>
            <w:pPr>
              <w:pStyle w:val="Compact"/>
              <w:jc w:val="right"/>
            </w:pPr>
            <w:r>
              <w:t xml:space="preserve">-77,930.7</w:t>
            </w:r>
          </w:p>
        </w:tc>
        <w:tc>
          <w:tcPr/>
          <w:p>
            <w:pPr>
              <w:pStyle w:val="Compact"/>
              <w:jc w:val="right"/>
            </w:pPr>
            <w:r>
              <w:t xml:space="preserve">5,917,429.0</w:t>
            </w:r>
          </w:p>
        </w:tc>
      </w:tr>
      <w:tr>
        <w:tc>
          <w:tcPr/>
          <w:p>
            <w:pPr>
              <w:pStyle w:val="Compact"/>
            </w:pPr>
            <w:r>
              <w:t xml:space="preserve">1.65</w:t>
            </w:r>
          </w:p>
        </w:tc>
        <w:tc>
          <w:tcPr/>
          <w:p>
            <w:pPr>
              <w:pStyle w:val="Compact"/>
              <w:jc w:val="right"/>
            </w:pPr>
            <w:r>
              <w:t xml:space="preserve">-77,923.3</w:t>
            </w:r>
          </w:p>
        </w:tc>
        <w:tc>
          <w:tcPr/>
          <w:p>
            <w:pPr>
              <w:pStyle w:val="Compact"/>
              <w:jc w:val="right"/>
            </w:pPr>
            <w:r>
              <w:t xml:space="preserve">3,996,089.7</w:t>
            </w:r>
          </w:p>
        </w:tc>
      </w:tr>
      <w:tr>
        <w:tc>
          <w:tcPr/>
          <w:p>
            <w:pPr>
              <w:pStyle w:val="Compact"/>
            </w:pPr>
            <w:r>
              <w:t xml:space="preserve">1.70</w:t>
            </w:r>
          </w:p>
        </w:tc>
        <w:tc>
          <w:tcPr/>
          <w:p>
            <w:pPr>
              <w:pStyle w:val="Compact"/>
              <w:jc w:val="right"/>
            </w:pPr>
            <w:r>
              <w:t xml:space="preserve">-78,151.1</w:t>
            </w:r>
          </w:p>
        </w:tc>
        <w:tc>
          <w:tcPr/>
          <w:p>
            <w:pPr>
              <w:pStyle w:val="Compact"/>
              <w:jc w:val="right"/>
            </w:pPr>
            <w:r>
              <w:t xml:space="preserve">2,764,579.2</w:t>
            </w:r>
          </w:p>
        </w:tc>
      </w:tr>
      <w:tr>
        <w:tc>
          <w:tcPr/>
          <w:p>
            <w:pPr>
              <w:pStyle w:val="Compact"/>
            </w:pPr>
            <w:r>
              <w:t xml:space="preserve">1.75</w:t>
            </w:r>
          </w:p>
        </w:tc>
        <w:tc>
          <w:tcPr/>
          <w:p>
            <w:pPr>
              <w:pStyle w:val="Compact"/>
              <w:jc w:val="right"/>
            </w:pPr>
            <w:r>
              <w:t xml:space="preserve">-78,680.8</w:t>
            </w:r>
          </w:p>
        </w:tc>
        <w:tc>
          <w:tcPr/>
          <w:p>
            <w:pPr>
              <w:pStyle w:val="Compact"/>
              <w:jc w:val="right"/>
            </w:pPr>
            <w:r>
              <w:t xml:space="preserve">1,974,035.1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2,894</w:t>
            </w:r>
          </w:p>
        </w:tc>
        <w:tc>
          <w:tcPr/>
          <w:p>
            <w:pPr>
              <w:pStyle w:val="Compact"/>
              <w:jc w:val="right"/>
            </w:pPr>
            <w:r>
              <w:t xml:space="preserve">3,104</w:t>
            </w:r>
          </w:p>
        </w:tc>
        <w:tc>
          <w:tcPr/>
          <w:p>
            <w:pPr>
              <w:pStyle w:val="Compact"/>
              <w:jc w:val="right"/>
            </w:pPr>
            <w:r>
              <w:t xml:space="preserve">1.072</w:t>
            </w:r>
          </w:p>
        </w:tc>
        <w:tc>
          <w:tcPr/>
          <w:p>
            <w:pPr>
              <w:pStyle w:val="Compact"/>
              <w:jc w:val="right"/>
            </w:pPr>
            <w:r>
              <w:t xml:space="preserve">0.16</w:t>
            </w:r>
          </w:p>
        </w:tc>
      </w:tr>
      <w:tr>
        <w:tc>
          <w:tcPr/>
          <w:p>
            <w:pPr>
              <w:pStyle w:val="Compact"/>
            </w:pPr>
            <w:r>
              <w:t xml:space="preserve">2</w:t>
            </w:r>
          </w:p>
        </w:tc>
        <w:tc>
          <w:tcPr/>
          <w:p>
            <w:pPr>
              <w:pStyle w:val="Compact"/>
              <w:jc w:val="right"/>
            </w:pPr>
            <w:r>
              <w:t xml:space="preserve">2,463</w:t>
            </w:r>
          </w:p>
        </w:tc>
        <w:tc>
          <w:tcPr/>
          <w:p>
            <w:pPr>
              <w:pStyle w:val="Compact"/>
              <w:jc w:val="right"/>
            </w:pPr>
            <w:r>
              <w:t xml:space="preserve">4,365</w:t>
            </w:r>
          </w:p>
        </w:tc>
        <w:tc>
          <w:tcPr/>
          <w:p>
            <w:pPr>
              <w:pStyle w:val="Compact"/>
              <w:jc w:val="right"/>
            </w:pPr>
            <w:r>
              <w:t xml:space="preserve">4,039</w:t>
            </w:r>
          </w:p>
        </w:tc>
        <w:tc>
          <w:tcPr/>
          <w:p>
            <w:pPr>
              <w:pStyle w:val="Compact"/>
              <w:jc w:val="right"/>
            </w:pPr>
            <w:r>
              <w:t xml:space="preserve">0.925</w:t>
            </w:r>
          </w:p>
        </w:tc>
        <w:tc>
          <w:tcPr/>
          <w:p>
            <w:pPr>
              <w:pStyle w:val="Compact"/>
              <w:jc w:val="right"/>
            </w:pPr>
            <w:r>
              <w:t xml:space="preserve">0.21</w:t>
            </w:r>
          </w:p>
        </w:tc>
      </w:tr>
      <w:tr>
        <w:tc>
          <w:tcPr/>
          <w:p>
            <w:pPr>
              <w:pStyle w:val="Compact"/>
            </w:pPr>
            <w:r>
              <w:t xml:space="preserve">3</w:t>
            </w:r>
          </w:p>
        </w:tc>
        <w:tc>
          <w:tcPr/>
          <w:p>
            <w:pPr>
              <w:pStyle w:val="Compact"/>
              <w:jc w:val="right"/>
            </w:pPr>
            <w:r>
              <w:t xml:space="preserve">2,463</w:t>
            </w:r>
          </w:p>
        </w:tc>
        <w:tc>
          <w:tcPr/>
          <w:p>
            <w:pPr>
              <w:pStyle w:val="Compact"/>
              <w:jc w:val="right"/>
            </w:pPr>
            <w:r>
              <w:t xml:space="preserve">5,837</w:t>
            </w:r>
          </w:p>
        </w:tc>
        <w:tc>
          <w:tcPr/>
          <w:p>
            <w:pPr>
              <w:pStyle w:val="Compact"/>
              <w:jc w:val="right"/>
            </w:pPr>
            <w:r>
              <w:t xml:space="preserve">6,121</w:t>
            </w:r>
          </w:p>
        </w:tc>
        <w:tc>
          <w:tcPr/>
          <w:p>
            <w:pPr>
              <w:pStyle w:val="Compact"/>
              <w:jc w:val="right"/>
            </w:pPr>
            <w:r>
              <w:t xml:space="preserve">1.049</w:t>
            </w:r>
          </w:p>
        </w:tc>
        <w:tc>
          <w:tcPr/>
          <w:p>
            <w:pPr>
              <w:pStyle w:val="Compact"/>
              <w:jc w:val="right"/>
            </w:pPr>
            <w:r>
              <w:t xml:space="preserve">0.31</w:t>
            </w:r>
          </w:p>
        </w:tc>
      </w:tr>
      <w:tr>
        <w:tc>
          <w:tcPr/>
          <w:p>
            <w:pPr>
              <w:pStyle w:val="Compact"/>
            </w:pPr>
            <w:r>
              <w:t xml:space="preserve">4</w:t>
            </w:r>
          </w:p>
        </w:tc>
        <w:tc>
          <w:tcPr/>
          <w:p>
            <w:pPr>
              <w:pStyle w:val="Compact"/>
              <w:jc w:val="right"/>
            </w:pPr>
            <w:r>
              <w:t xml:space="preserve">2,463</w:t>
            </w:r>
          </w:p>
        </w:tc>
        <w:tc>
          <w:tcPr/>
          <w:p>
            <w:pPr>
              <w:pStyle w:val="Compact"/>
              <w:jc w:val="right"/>
            </w:pPr>
            <w:r>
              <w:t xml:space="preserve">7,535</w:t>
            </w:r>
          </w:p>
        </w:tc>
        <w:tc>
          <w:tcPr/>
          <w:p>
            <w:pPr>
              <w:pStyle w:val="Compact"/>
              <w:jc w:val="right"/>
            </w:pPr>
            <w:r>
              <w:t xml:space="preserve">7,538</w:t>
            </w:r>
          </w:p>
        </w:tc>
        <w:tc>
          <w:tcPr/>
          <w:p>
            <w:pPr>
              <w:pStyle w:val="Compact"/>
              <w:jc w:val="right"/>
            </w:pPr>
            <w:r>
              <w:t xml:space="preserve">1.000</w:t>
            </w:r>
          </w:p>
        </w:tc>
        <w:tc>
          <w:tcPr/>
          <w:p>
            <w:pPr>
              <w:pStyle w:val="Compact"/>
              <w:jc w:val="right"/>
            </w:pPr>
            <w:r>
              <w:t xml:space="preserve">0.38</w:t>
            </w:r>
          </w:p>
        </w:tc>
      </w:tr>
      <w:tr>
        <w:tc>
          <w:tcPr/>
          <w:p>
            <w:pPr>
              <w:pStyle w:val="Compact"/>
            </w:pPr>
            <w:r>
              <w:t xml:space="preserve">5</w:t>
            </w:r>
          </w:p>
        </w:tc>
        <w:tc>
          <w:tcPr/>
          <w:p>
            <w:pPr>
              <w:pStyle w:val="Compact"/>
              <w:jc w:val="right"/>
            </w:pPr>
            <w:r>
              <w:t xml:space="preserve">2,463</w:t>
            </w:r>
          </w:p>
        </w:tc>
        <w:tc>
          <w:tcPr/>
          <w:p>
            <w:pPr>
              <w:pStyle w:val="Compact"/>
              <w:jc w:val="right"/>
            </w:pPr>
            <w:r>
              <w:t xml:space="preserve">9,338</w:t>
            </w:r>
          </w:p>
        </w:tc>
        <w:tc>
          <w:tcPr/>
          <w:p>
            <w:pPr>
              <w:pStyle w:val="Compact"/>
              <w:jc w:val="right"/>
            </w:pPr>
            <w:r>
              <w:t xml:space="preserve">10,093</w:t>
            </w:r>
          </w:p>
        </w:tc>
        <w:tc>
          <w:tcPr/>
          <w:p>
            <w:pPr>
              <w:pStyle w:val="Compact"/>
              <w:jc w:val="right"/>
            </w:pPr>
            <w:r>
              <w:t xml:space="preserve">1.081</w:t>
            </w:r>
          </w:p>
        </w:tc>
        <w:tc>
          <w:tcPr/>
          <w:p>
            <w:pPr>
              <w:pStyle w:val="Compact"/>
              <w:jc w:val="right"/>
            </w:pPr>
            <w:r>
              <w:t xml:space="preserve">0.51</w:t>
            </w:r>
          </w:p>
        </w:tc>
      </w:tr>
      <w:tr>
        <w:tc>
          <w:tcPr/>
          <w:p>
            <w:pPr>
              <w:pStyle w:val="Compact"/>
            </w:pPr>
            <w:r>
              <w:t xml:space="preserve">6</w:t>
            </w:r>
          </w:p>
        </w:tc>
        <w:tc>
          <w:tcPr/>
          <w:p>
            <w:pPr>
              <w:pStyle w:val="Compact"/>
              <w:jc w:val="right"/>
            </w:pPr>
            <w:r>
              <w:t xml:space="preserve">2,462</w:t>
            </w:r>
          </w:p>
        </w:tc>
        <w:tc>
          <w:tcPr/>
          <w:p>
            <w:pPr>
              <w:pStyle w:val="Compact"/>
              <w:jc w:val="right"/>
            </w:pPr>
            <w:r>
              <w:t xml:space="preserve">12,078</w:t>
            </w:r>
          </w:p>
        </w:tc>
        <w:tc>
          <w:tcPr/>
          <w:p>
            <w:pPr>
              <w:pStyle w:val="Compact"/>
              <w:jc w:val="right"/>
            </w:pPr>
            <w:r>
              <w:t xml:space="preserve">12,675</w:t>
            </w:r>
          </w:p>
        </w:tc>
        <w:tc>
          <w:tcPr/>
          <w:p>
            <w:pPr>
              <w:pStyle w:val="Compact"/>
              <w:jc w:val="right"/>
            </w:pPr>
            <w:r>
              <w:t xml:space="preserve">1.049</w:t>
            </w:r>
          </w:p>
        </w:tc>
        <w:tc>
          <w:tcPr/>
          <w:p>
            <w:pPr>
              <w:pStyle w:val="Compact"/>
              <w:jc w:val="right"/>
            </w:pPr>
            <w:r>
              <w:t xml:space="preserve">0.64</w:t>
            </w:r>
          </w:p>
        </w:tc>
      </w:tr>
      <w:tr>
        <w:tc>
          <w:tcPr/>
          <w:p>
            <w:pPr>
              <w:pStyle w:val="Compact"/>
            </w:pPr>
            <w:r>
              <w:t xml:space="preserve">7</w:t>
            </w:r>
          </w:p>
        </w:tc>
        <w:tc>
          <w:tcPr/>
          <w:p>
            <w:pPr>
              <w:pStyle w:val="Compact"/>
              <w:jc w:val="right"/>
            </w:pPr>
            <w:r>
              <w:t xml:space="preserve">2,463</w:t>
            </w:r>
          </w:p>
        </w:tc>
        <w:tc>
          <w:tcPr/>
          <w:p>
            <w:pPr>
              <w:pStyle w:val="Compact"/>
              <w:jc w:val="right"/>
            </w:pPr>
            <w:r>
              <w:t xml:space="preserve">15,781</w:t>
            </w:r>
          </w:p>
        </w:tc>
        <w:tc>
          <w:tcPr/>
          <w:p>
            <w:pPr>
              <w:pStyle w:val="Compact"/>
              <w:jc w:val="right"/>
            </w:pPr>
            <w:r>
              <w:t xml:space="preserve">12,853</w:t>
            </w:r>
          </w:p>
        </w:tc>
        <w:tc>
          <w:tcPr/>
          <w:p>
            <w:pPr>
              <w:pStyle w:val="Compact"/>
              <w:jc w:val="right"/>
            </w:pPr>
            <w:r>
              <w:t xml:space="preserve">0.814</w:t>
            </w:r>
          </w:p>
        </w:tc>
        <w:tc>
          <w:tcPr/>
          <w:p>
            <w:pPr>
              <w:pStyle w:val="Compact"/>
              <w:jc w:val="right"/>
            </w:pPr>
            <w:r>
              <w:t xml:space="preserve">0.65</w:t>
            </w:r>
          </w:p>
        </w:tc>
      </w:tr>
      <w:tr>
        <w:tc>
          <w:tcPr/>
          <w:p>
            <w:pPr>
              <w:pStyle w:val="Compact"/>
            </w:pPr>
            <w:r>
              <w:t xml:space="preserve">8</w:t>
            </w:r>
          </w:p>
        </w:tc>
        <w:tc>
          <w:tcPr/>
          <w:p>
            <w:pPr>
              <w:pStyle w:val="Compact"/>
              <w:jc w:val="right"/>
            </w:pPr>
            <w:r>
              <w:t xml:space="preserve">2,463</w:t>
            </w:r>
          </w:p>
        </w:tc>
        <w:tc>
          <w:tcPr/>
          <w:p>
            <w:pPr>
              <w:pStyle w:val="Compact"/>
              <w:jc w:val="right"/>
            </w:pPr>
            <w:r>
              <w:t xml:space="preserve">21,975</w:t>
            </w:r>
          </w:p>
        </w:tc>
        <w:tc>
          <w:tcPr/>
          <w:p>
            <w:pPr>
              <w:pStyle w:val="Compact"/>
              <w:jc w:val="right"/>
            </w:pPr>
            <w:r>
              <w:t xml:space="preserve">18,609</w:t>
            </w:r>
          </w:p>
        </w:tc>
        <w:tc>
          <w:tcPr/>
          <w:p>
            <w:pPr>
              <w:pStyle w:val="Compact"/>
              <w:jc w:val="right"/>
            </w:pPr>
            <w:r>
              <w:t xml:space="preserve">0.847</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32,965</w:t>
            </w:r>
          </w:p>
        </w:tc>
        <w:tc>
          <w:tcPr/>
          <w:p>
            <w:pPr>
              <w:pStyle w:val="Compact"/>
              <w:jc w:val="right"/>
            </w:pPr>
            <w:r>
              <w:t xml:space="preserve">37,389</w:t>
            </w:r>
          </w:p>
        </w:tc>
        <w:tc>
          <w:tcPr/>
          <w:p>
            <w:pPr>
              <w:pStyle w:val="Compact"/>
              <w:jc w:val="right"/>
            </w:pPr>
            <w:r>
              <w:t xml:space="preserve">1.134</w:t>
            </w:r>
          </w:p>
        </w:tc>
        <w:tc>
          <w:tcPr/>
          <w:p>
            <w:pPr>
              <w:pStyle w:val="Compact"/>
              <w:jc w:val="right"/>
            </w:pPr>
            <w:r>
              <w:t xml:space="preserve">1.90</w:t>
            </w:r>
          </w:p>
        </w:tc>
      </w:tr>
      <w:tr>
        <w:tc>
          <w:tcPr/>
          <w:p>
            <w:pPr>
              <w:pStyle w:val="Compact"/>
            </w:pPr>
            <w:r>
              <w:t xml:space="preserve">10</w:t>
            </w:r>
          </w:p>
        </w:tc>
        <w:tc>
          <w:tcPr/>
          <w:p>
            <w:pPr>
              <w:pStyle w:val="Compact"/>
              <w:jc w:val="right"/>
            </w:pPr>
            <w:r>
              <w:t xml:space="preserve">2,463</w:t>
            </w:r>
          </w:p>
        </w:tc>
        <w:tc>
          <w:tcPr/>
          <w:p>
            <w:pPr>
              <w:pStyle w:val="Compact"/>
              <w:jc w:val="right"/>
            </w:pPr>
            <w:r>
              <w:t xml:space="preserve">82,286</w:t>
            </w:r>
          </w:p>
        </w:tc>
        <w:tc>
          <w:tcPr/>
          <w:p>
            <w:pPr>
              <w:pStyle w:val="Compact"/>
              <w:jc w:val="right"/>
            </w:pPr>
            <w:r>
              <w:t xml:space="preserve">83,195</w:t>
            </w:r>
          </w:p>
        </w:tc>
        <w:tc>
          <w:tcPr/>
          <w:p>
            <w:pPr>
              <w:pStyle w:val="Compact"/>
              <w:jc w:val="right"/>
            </w:pPr>
            <w:r>
              <w:t xml:space="preserve">1.011</w:t>
            </w:r>
          </w:p>
        </w:tc>
        <w:tc>
          <w:tcPr/>
          <w:p>
            <w:pPr>
              <w:pStyle w:val="Compact"/>
              <w:jc w:val="right"/>
            </w:pPr>
            <w:r>
              <w:t xml:space="preserve">4.23</w:t>
            </w:r>
          </w:p>
        </w:tc>
      </w:tr>
    </w:tbl>
    <w:p>
      <w:pPr>
        <w:pStyle w:val="BodyText"/>
      </w:pPr>
      <w:r>
        <w:rPr>
          <w:b/>
          <w:bCs/>
        </w:rPr>
        <w:t xml:space="preserve">Table A8.</w:t>
      </w:r>
      <w:r>
        <w:t xml:space="preserve"> </w:t>
      </w:r>
      <w:r>
        <w:t xml:space="preserve">Probability of ruin over three years for a 20,000-life pool with no opening capital, and the medical-inflation stress.</w:t>
      </w:r>
    </w:p>
    <w:p>
      <w:pPr>
        <w:pStyle w:val="BodyText"/>
      </w:pPr>
      <w:r>
        <w:rPr>
          <w:i/>
          <w:iCs/>
        </w:rPr>
        <w:t xml:space="preserve">The full grid across pool sizes of 5,000 to 100,000, take-up patterns, subsidy levels in 5% steps, horizons and capital multiples is in output/tables/table6b_ruin_scenarios.csv.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0.7195</w:t>
            </w:r>
          </w:p>
        </w:tc>
        <w:tc>
          <w:tcPr/>
          <w:p>
            <w:pPr>
              <w:pStyle w:val="Compact"/>
              <w:jc w:val="right"/>
            </w:pPr>
            <w:r>
              <w:t xml:space="preserve">0.0045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0.0002</w:t>
            </w:r>
          </w:p>
        </w:tc>
        <w:tc>
          <w:tcPr/>
          <w:p>
            <w:pPr>
              <w:pStyle w:val="Compact"/>
              <w:jc w:val="right"/>
            </w:pPr>
            <w:r>
              <w:t xml:space="preserve">0.0001</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15,339</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32,205</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51,401</w:t>
            </w:r>
          </w:p>
        </w:tc>
      </w:tr>
      <w:tr>
        <w:tc>
          <w:tcPr/>
          <w:p>
            <w:pPr>
              <w:pStyle w:val="Compact"/>
            </w:pPr>
            <w:r>
              <w:t xml:space="preserve">25%</w:t>
            </w:r>
          </w:p>
        </w:tc>
        <w:tc>
          <w:tcPr/>
          <w:p>
            <w:pPr>
              <w:pStyle w:val="Compact"/>
              <w:jc w:val="right"/>
            </w:pPr>
            <w:r>
              <w:t xml:space="preserve">Random</w:t>
            </w:r>
          </w:p>
        </w:tc>
        <w:tc>
          <w:tcPr/>
          <w:p>
            <w:pPr>
              <w:pStyle w:val="Compact"/>
              <w:jc w:val="right"/>
            </w:pPr>
            <w:r>
              <w:t xml:space="preserve">18,723</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38,067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60,213</w:t>
            </w:r>
          </w:p>
        </w:tc>
      </w:tr>
    </w:tbl>
    <w:p>
      <w:pPr>
        <w:pStyle w:val="BodyText"/>
      </w:pPr>
      <w:r>
        <w:rPr>
          <w:b/>
          <w:bCs/>
        </w:rPr>
        <w:t xml:space="preserve">Table A9.</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9.3</w:t>
            </w:r>
          </w:p>
        </w:tc>
        <w:tc>
          <w:tcPr/>
          <w:p>
            <w:pPr>
              <w:pStyle w:val="Compact"/>
              <w:jc w:val="right"/>
            </w:pPr>
            <w:r>
              <w:t xml:space="preserve">1.9</w:t>
            </w:r>
          </w:p>
        </w:tc>
        <w:tc>
          <w:tcPr/>
          <w:p>
            <w:pPr>
              <w:pStyle w:val="Compact"/>
              <w:jc w:val="right"/>
            </w:pPr>
            <w:r>
              <w:t xml:space="preserve">4.4</w:t>
            </w:r>
          </w:p>
        </w:tc>
        <w:tc>
          <w:tcPr/>
          <w:p>
            <w:pPr>
              <w:pStyle w:val="Compact"/>
              <w:jc w:val="right"/>
            </w:pPr>
            <w:r>
              <w:t xml:space="preserve">59.7</w:t>
            </w:r>
          </w:p>
        </w:tc>
        <w:tc>
          <w:tcPr/>
          <w:p>
            <w:pPr>
              <w:pStyle w:val="Compact"/>
              <w:jc w:val="right"/>
            </w:pPr>
            <w:r>
              <w:t xml:space="preserve">76,925</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13.2</w:t>
            </w:r>
          </w:p>
        </w:tc>
        <w:tc>
          <w:tcPr/>
          <w:p>
            <w:pPr>
              <w:pStyle w:val="Compact"/>
              <w:jc w:val="right"/>
            </w:pPr>
            <w:r>
              <w:t xml:space="preserve">2.0</w:t>
            </w:r>
          </w:p>
        </w:tc>
        <w:tc>
          <w:tcPr/>
          <w:p>
            <w:pPr>
              <w:pStyle w:val="Compact"/>
              <w:jc w:val="right"/>
            </w:pPr>
            <w:r>
              <w:t xml:space="preserve">8.1</w:t>
            </w:r>
          </w:p>
        </w:tc>
        <w:tc>
          <w:tcPr/>
          <w:p>
            <w:pPr>
              <w:pStyle w:val="Compact"/>
              <w:jc w:val="right"/>
            </w:pPr>
            <w:r>
              <w:t xml:space="preserve">60.3</w:t>
            </w:r>
          </w:p>
        </w:tc>
        <w:tc>
          <w:tcPr/>
          <w:p>
            <w:pPr>
              <w:pStyle w:val="Compact"/>
              <w:jc w:val="right"/>
            </w:pPr>
            <w:r>
              <w:t xml:space="preserve">107,606</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1.5</w:t>
            </w:r>
          </w:p>
        </w:tc>
        <w:tc>
          <w:tcPr/>
          <w:p>
            <w:pPr>
              <w:pStyle w:val="Compact"/>
              <w:jc w:val="right"/>
            </w:pPr>
            <w:r>
              <w:t xml:space="preserve">59.1</w:t>
            </w:r>
          </w:p>
        </w:tc>
        <w:tc>
          <w:tcPr/>
          <w:p>
            <w:pPr>
              <w:pStyle w:val="Compact"/>
              <w:jc w:val="right"/>
            </w:pPr>
            <w:r>
              <w:t xml:space="preserve">46,257</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11.5</w:t>
            </w:r>
          </w:p>
        </w:tc>
        <w:tc>
          <w:tcPr/>
          <w:p>
            <w:pPr>
              <w:pStyle w:val="Compact"/>
              <w:jc w:val="right"/>
            </w:pPr>
            <w:r>
              <w:t xml:space="preserve">1.2</w:t>
            </w:r>
          </w:p>
        </w:tc>
        <w:tc>
          <w:tcPr/>
          <w:p>
            <w:pPr>
              <w:pStyle w:val="Compact"/>
              <w:jc w:val="right"/>
            </w:pPr>
            <w:r>
              <w:t xml:space="preserve">8.4</w:t>
            </w:r>
          </w:p>
        </w:tc>
        <w:tc>
          <w:tcPr/>
          <w:p>
            <w:pPr>
              <w:pStyle w:val="Compact"/>
              <w:jc w:val="right"/>
            </w:pPr>
            <w:r>
              <w:t xml:space="preserve">60.3</w:t>
            </w:r>
          </w:p>
        </w:tc>
        <w:tc>
          <w:tcPr/>
          <w:p>
            <w:pPr>
              <w:pStyle w:val="Compact"/>
              <w:jc w:val="right"/>
            </w:pPr>
            <w:r>
              <w:t xml:space="preserve">105,844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4.2</w:t>
            </w:r>
          </w:p>
        </w:tc>
        <w:tc>
          <w:tcPr/>
          <w:p>
            <w:pPr>
              <w:pStyle w:val="Compact"/>
              <w:jc w:val="right"/>
            </w:pPr>
            <w:r>
              <w:t xml:space="preserve">0.8</w:t>
            </w:r>
          </w:p>
        </w:tc>
        <w:tc>
          <w:tcPr/>
          <w:p>
            <w:pPr>
              <w:pStyle w:val="Compact"/>
              <w:jc w:val="right"/>
            </w:pPr>
            <w:r>
              <w:t xml:space="preserve">1.4</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5.7</w:t>
            </w:r>
          </w:p>
        </w:tc>
        <w:tc>
          <w:tcPr/>
          <w:p>
            <w:pPr>
              <w:pStyle w:val="Compact"/>
              <w:jc w:val="right"/>
            </w:pPr>
            <w:r>
              <w:t xml:space="preserve">60.3</w:t>
            </w:r>
          </w:p>
        </w:tc>
        <w:tc>
          <w:tcPr/>
          <w:p>
            <w:pPr>
              <w:pStyle w:val="Compact"/>
              <w:jc w:val="right"/>
            </w:pPr>
            <w:r>
              <w:t xml:space="preserve">132,250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4.3</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7.6</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60.3</w:t>
            </w:r>
          </w:p>
        </w:tc>
        <w:tc>
          <w:tcPr/>
          <w:p>
            <w:pPr>
              <w:pStyle w:val="Compact"/>
              <w:jc w:val="right"/>
            </w:pPr>
            <w:r>
              <w:t xml:space="preserve">105,634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1.6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58.7</w:t>
            </w:r>
          </w:p>
        </w:tc>
        <w:tc>
          <w:tcPr/>
          <w:p>
            <w:pPr>
              <w:pStyle w:val="Compact"/>
              <w:jc w:val="right"/>
            </w:pPr>
            <w:r>
              <w:t xml:space="preserve">27,603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101,782</w:t>
            </w:r>
          </w:p>
        </w:tc>
      </w:tr>
    </w:tbl>
    <w:p>
      <w:pPr>
        <w:pStyle w:val="BodyText"/>
      </w:pPr>
      <w:r>
        <w:rPr>
          <w:b/>
          <w:bCs/>
        </w:rPr>
        <w:t xml:space="preserve">Table A10.</w:t>
      </w:r>
      <w:r>
        <w:t xml:space="preserve"> </w:t>
      </w:r>
      <w:r>
        <w:t xml:space="preserve">Counterfactual catastrophic spending by consumption quintile, out-of-pocket plus contribution basis (percent).</w:t>
      </w:r>
    </w:p>
    <w:p>
      <w:pPr>
        <w:pStyle w:val="BodyText"/>
      </w:pPr>
      <w:r>
        <w:rPr>
          <w:i/>
          <w:iCs/>
        </w:rPr>
        <w:t xml:space="preserve">Design-based 95% intervals for every cell are in output/tables/table7c_by_quintile.csv.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Q1 (poorest)</w:t>
            </w:r>
          </w:p>
        </w:tc>
        <w:tc>
          <w:tcPr/>
          <w:p>
            <w:pPr>
              <w:pStyle w:val="Compact"/>
              <w:jc w:val="right"/>
            </w:pPr>
            <w:r>
              <w:t xml:space="preserve">Q2</w:t>
            </w:r>
          </w:p>
        </w:tc>
        <w:tc>
          <w:tcPr/>
          <w:p>
            <w:pPr>
              <w:pStyle w:val="Compact"/>
              <w:jc w:val="right"/>
            </w:pPr>
            <w:r>
              <w:t xml:space="preserve">Q3</w:t>
            </w:r>
          </w:p>
        </w:tc>
        <w:tc>
          <w:tcPr/>
          <w:p>
            <w:pPr>
              <w:pStyle w:val="Compact"/>
              <w:jc w:val="right"/>
            </w:pPr>
            <w:r>
              <w:t xml:space="preserve">Q4</w:t>
            </w:r>
          </w:p>
        </w:tc>
        <w:tc>
          <w:tcPr/>
          <w:p>
            <w:pPr>
              <w:pStyle w:val="Compact"/>
              <w:jc w:val="right"/>
            </w:pPr>
            <w:r>
              <w:t xml:space="preserve">Q5 (richest)</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11.9</w:t>
            </w:r>
          </w:p>
        </w:tc>
        <w:tc>
          <w:tcPr/>
          <w:p>
            <w:pPr>
              <w:pStyle w:val="Compact"/>
              <w:jc w:val="right"/>
            </w:pPr>
            <w:r>
              <w:t xml:space="preserve">14.4</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9.9</w:t>
            </w:r>
          </w:p>
        </w:tc>
        <w:tc>
          <w:tcPr/>
          <w:p>
            <w:pPr>
              <w:pStyle w:val="Compact"/>
              <w:jc w:val="right"/>
            </w:pPr>
            <w:r>
              <w:t xml:space="preserve">11.2</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22.5</w:t>
            </w:r>
          </w:p>
        </w:tc>
        <w:tc>
          <w:tcPr/>
          <w:p>
            <w:pPr>
              <w:pStyle w:val="Compact"/>
              <w:jc w:val="right"/>
            </w:pPr>
            <w:r>
              <w:t xml:space="preserve">11.8</w:t>
            </w:r>
          </w:p>
        </w:tc>
        <w:tc>
          <w:tcPr/>
          <w:p>
            <w:pPr>
              <w:pStyle w:val="Compact"/>
              <w:jc w:val="right"/>
            </w:pPr>
            <w:r>
              <w:t xml:space="preserve">9.7</w:t>
            </w:r>
          </w:p>
        </w:tc>
        <w:tc>
          <w:tcPr/>
          <w:p>
            <w:pPr>
              <w:pStyle w:val="Compact"/>
              <w:jc w:val="right"/>
            </w:pPr>
            <w:r>
              <w:t xml:space="preserve">10.4</w:t>
            </w:r>
          </w:p>
        </w:tc>
        <w:tc>
          <w:tcPr/>
          <w:p>
            <w:pPr>
              <w:pStyle w:val="Compact"/>
              <w:jc w:val="right"/>
            </w:pPr>
            <w:r>
              <w:t xml:space="preserve">11.7</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4.2</w:t>
            </w:r>
          </w:p>
        </w:tc>
        <w:tc>
          <w:tcPr/>
          <w:p>
            <w:pPr>
              <w:pStyle w:val="Compact"/>
              <w:jc w:val="right"/>
            </w:pPr>
            <w:r>
              <w:t xml:space="preserve">4.6</w:t>
            </w:r>
          </w:p>
        </w:tc>
        <w:tc>
          <w:tcPr/>
          <w:p>
            <w:pPr>
              <w:pStyle w:val="Compact"/>
              <w:jc w:val="right"/>
            </w:pPr>
            <w:r>
              <w:t xml:space="preserve">2.4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31.0</w:t>
            </w:r>
          </w:p>
        </w:tc>
        <w:tc>
          <w:tcPr/>
          <w:p>
            <w:pPr>
              <w:pStyle w:val="Compact"/>
              <w:jc w:val="right"/>
            </w:pPr>
            <w:r>
              <w:t xml:space="preserve">7.1</w:t>
            </w:r>
          </w:p>
        </w:tc>
        <w:tc>
          <w:tcPr/>
          <w:p>
            <w:pPr>
              <w:pStyle w:val="Compact"/>
              <w:jc w:val="right"/>
            </w:pPr>
            <w:r>
              <w:t xml:space="preserve">6.0</w:t>
            </w:r>
          </w:p>
        </w:tc>
        <w:tc>
          <w:tcPr/>
          <w:p>
            <w:pPr>
              <w:pStyle w:val="Compact"/>
              <w:jc w:val="right"/>
            </w:pPr>
            <w:r>
              <w:t xml:space="preserve">7.1</w:t>
            </w:r>
          </w:p>
        </w:tc>
        <w:tc>
          <w:tcPr/>
          <w:p>
            <w:pPr>
              <w:pStyle w:val="Compact"/>
              <w:jc w:val="right"/>
            </w:pPr>
            <w:r>
              <w:t xml:space="preserve">6.5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28.3</w:t>
            </w:r>
          </w:p>
        </w:tc>
        <w:tc>
          <w:tcPr/>
          <w:p>
            <w:pPr>
              <w:pStyle w:val="Compact"/>
              <w:jc w:val="right"/>
            </w:pPr>
            <w:r>
              <w:t xml:space="preserve">7.5</w:t>
            </w:r>
          </w:p>
        </w:tc>
        <w:tc>
          <w:tcPr/>
          <w:p>
            <w:pPr>
              <w:pStyle w:val="Compact"/>
              <w:jc w:val="right"/>
            </w:pPr>
            <w:r>
              <w:t xml:space="preserve">2.4</w:t>
            </w:r>
          </w:p>
        </w:tc>
        <w:tc>
          <w:tcPr/>
          <w:p>
            <w:pPr>
              <w:pStyle w:val="Compact"/>
              <w:jc w:val="right"/>
            </w:pPr>
            <w:r>
              <w:t xml:space="preserve">2.5</w:t>
            </w:r>
          </w:p>
        </w:tc>
        <w:tc>
          <w:tcPr/>
          <w:p>
            <w:pPr>
              <w:pStyle w:val="Compact"/>
              <w:jc w:val="right"/>
            </w:pPr>
            <w:r>
              <w:t xml:space="preserve">1.5</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12.6</w:t>
            </w:r>
          </w:p>
        </w:tc>
        <w:tc>
          <w:tcPr/>
          <w:p>
            <w:pPr>
              <w:pStyle w:val="Compact"/>
              <w:jc w:val="right"/>
            </w:pPr>
            <w:r>
              <w:t xml:space="preserve">7.1</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12.3</w:t>
            </w:r>
          </w:p>
        </w:tc>
        <w:tc>
          <w:tcPr/>
          <w:p>
            <w:pPr>
              <w:pStyle w:val="Compact"/>
              <w:jc w:val="right"/>
            </w:pPr>
            <w:r>
              <w:t xml:space="preserve">7.5</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3.4</w:t>
            </w:r>
          </w:p>
        </w:tc>
        <w:tc>
          <w:tcPr/>
          <w:p>
            <w:pPr>
              <w:pStyle w:val="Compact"/>
              <w:jc w:val="right"/>
            </w:pPr>
            <w:r>
              <w:t xml:space="preserve">5.4</w:t>
            </w:r>
          </w:p>
        </w:tc>
        <w:tc>
          <w:tcPr/>
          <w:p>
            <w:pPr>
              <w:pStyle w:val="Compact"/>
              <w:jc w:val="right"/>
            </w:pPr>
            <w:r>
              <w:t xml:space="preserve">5.8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1.4</w:t>
            </w:r>
          </w:p>
        </w:tc>
        <w:tc>
          <w:tcPr/>
          <w:p>
            <w:pPr>
              <w:pStyle w:val="Compact"/>
              <w:jc w:val="right"/>
            </w:pPr>
            <w:r>
              <w:t xml:space="preserve">2.0</w:t>
            </w:r>
          </w:p>
        </w:tc>
        <w:tc>
          <w:tcPr/>
          <w:p>
            <w:pPr>
              <w:pStyle w:val="Compact"/>
              <w:jc w:val="right"/>
            </w:pPr>
            <w:r>
              <w:t xml:space="preserve">1.3</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32.3</w:t>
            </w:r>
          </w:p>
        </w:tc>
        <w:tc>
          <w:tcPr/>
          <w:p>
            <w:pPr>
              <w:pStyle w:val="Compact"/>
              <w:jc w:val="right"/>
            </w:pPr>
            <w:r>
              <w:t xml:space="preserve">6.0</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3.9</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29.0</w:t>
            </w:r>
          </w:p>
        </w:tc>
        <w:tc>
          <w:tcPr/>
          <w:p>
            <w:pPr>
              <w:pStyle w:val="Compact"/>
              <w:jc w:val="right"/>
            </w:pPr>
            <w:r>
              <w:t xml:space="preserve">6.7</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bl>
    <w:p>
      <w:pPr>
        <w:pStyle w:val="BodyText"/>
      </w:pPr>
      <w:r>
        <w:rPr>
          <w:b/>
          <w:bCs/>
        </w:rPr>
        <w:t xml:space="preserve">Table A11.</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Uncalibrated consumption aggregate</w:t>
            </w:r>
          </w:p>
        </w:tc>
        <w:tc>
          <w:tcPr/>
          <w:p>
            <w:pPr>
              <w:pStyle w:val="Compact"/>
              <w:jc w:val="right"/>
            </w:pPr>
            <w:r>
              <w:t xml:space="preserve">16.7</w:t>
            </w:r>
          </w:p>
        </w:tc>
        <w:tc>
          <w:tcPr/>
          <w:p>
            <w:pPr>
              <w:pStyle w:val="Compact"/>
              <w:jc w:val="right"/>
            </w:pPr>
            <w:r>
              <w:t xml:space="preserve">11.3</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8,571</w:t>
            </w:r>
          </w:p>
        </w:tc>
        <w:tc>
          <w:tcPr/>
          <w:p>
            <w:pPr>
              <w:pStyle w:val="Compact"/>
              <w:jc w:val="right"/>
            </w:pPr>
            <w:r>
              <w:t xml:space="preserve">16,839</w:t>
            </w:r>
          </w:p>
        </w:tc>
        <w:tc>
          <w:tcPr/>
          <w:p>
            <w:pPr>
              <w:pStyle w:val="Compact"/>
              <w:jc w:val="right"/>
            </w:pPr>
            <w:r>
              <w:t xml:space="preserve">52,890</w:t>
            </w:r>
          </w:p>
        </w:tc>
      </w:tr>
      <w:tr>
        <w:tc>
          <w:tcPr/>
          <w:p>
            <w:pPr>
              <w:pStyle w:val="Compact"/>
            </w:pPr>
            <w:r>
              <w:t xml:space="preserve">Equivalence scale hhsize^0.5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hhsize^0.75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hhsize^1.0</w:t>
            </w:r>
          </w:p>
        </w:tc>
        <w:tc>
          <w:tcPr/>
          <w:p>
            <w:pPr>
              <w:pStyle w:val="Compact"/>
              <w:jc w:val="right"/>
            </w:pPr>
            <w:r>
              <w:t xml:space="preserve">14.1</w:t>
            </w:r>
          </w:p>
        </w:tc>
        <w:tc>
          <w:tcPr/>
          <w:p>
            <w:pPr>
              <w:pStyle w:val="Compact"/>
              <w:jc w:val="right"/>
            </w:pPr>
            <w:r>
              <w:t xml:space="preserve">7.8</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annualiser x12</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9,996</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Outpatient annualiser x10</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9,930</w:t>
            </w:r>
          </w:p>
        </w:tc>
        <w:tc>
          <w:tcPr/>
          <w:p>
            <w:pPr>
              <w:pStyle w:val="Compact"/>
              <w:jc w:val="right"/>
            </w:pPr>
            <w:r>
              <w:t xml:space="preserve">10,076</w:t>
            </w:r>
          </w:p>
        </w:tc>
        <w:tc>
          <w:tcPr/>
          <w:p>
            <w:pPr>
              <w:pStyle w:val="Compact"/>
              <w:jc w:val="right"/>
            </w:pPr>
            <w:r>
              <w:t xml:space="preserve">38,788</w:t>
            </w:r>
          </w:p>
        </w:tc>
      </w:tr>
      <w:tr>
        <w:tc>
          <w:tcPr/>
          <w:p>
            <w:pPr>
              <w:pStyle w:val="Compact"/>
            </w:pPr>
            <w:r>
              <w:t xml:space="preserve">Outpatient annualiser x6</w:t>
            </w:r>
          </w:p>
        </w:tc>
        <w:tc>
          <w:tcPr/>
          <w:p>
            <w:pPr>
              <w:pStyle w:val="Compact"/>
              <w:jc w:val="right"/>
            </w:pPr>
            <w:r>
              <w:t xml:space="preserve">6.0</w:t>
            </w:r>
          </w:p>
        </w:tc>
        <w:tc>
          <w:tcPr/>
          <w:p>
            <w:pPr>
              <w:pStyle w:val="Compact"/>
              <w:jc w:val="right"/>
            </w:pPr>
            <w:r>
              <w:t xml:space="preserve">2.7</w:t>
            </w:r>
          </w:p>
        </w:tc>
        <w:tc>
          <w:tcPr/>
          <w:p>
            <w:pPr>
              <w:pStyle w:val="Compact"/>
              <w:jc w:val="right"/>
            </w:pPr>
            <w:r>
              <w:t xml:space="preserve">10,854</w:t>
            </w:r>
          </w:p>
        </w:tc>
        <w:tc>
          <w:tcPr/>
          <w:p>
            <w:pPr>
              <w:pStyle w:val="Compact"/>
              <w:jc w:val="right"/>
            </w:pPr>
            <w:r>
              <w:t xml:space="preserve">13,787</w:t>
            </w:r>
          </w:p>
        </w:tc>
        <w:tc>
          <w:tcPr/>
          <w:p>
            <w:pPr>
              <w:pStyle w:val="Compact"/>
              <w:jc w:val="right"/>
            </w:pPr>
            <w:r>
              <w:t xml:space="preserve">9,796</w:t>
            </w:r>
          </w:p>
        </w:tc>
        <w:tc>
          <w:tcPr/>
          <w:p>
            <w:pPr>
              <w:pStyle w:val="Compact"/>
              <w:jc w:val="right"/>
            </w:pPr>
            <w:r>
              <w:t xml:space="preserve">3,043</w:t>
            </w:r>
          </w:p>
        </w:tc>
        <w:tc>
          <w:tcPr/>
          <w:p>
            <w:pPr>
              <w:pStyle w:val="Compact"/>
              <w:jc w:val="right"/>
            </w:pPr>
            <w:r>
              <w:t xml:space="preserve">22,032</w:t>
            </w:r>
          </w:p>
        </w:tc>
      </w:tr>
      <w:tr>
        <w:tc>
          <w:tcPr/>
          <w:p>
            <w:pPr>
              <w:pStyle w:val="Compact"/>
            </w:pPr>
            <w:r>
              <w:t xml:space="preserve">OOP including transport</w:t>
            </w:r>
          </w:p>
        </w:tc>
        <w:tc>
          <w:tcPr/>
          <w:p>
            <w:pPr>
              <w:pStyle w:val="Compact"/>
              <w:jc w:val="right"/>
            </w:pPr>
            <w:r>
              <w:t xml:space="preserve">15.3</w:t>
            </w:r>
          </w:p>
        </w:tc>
        <w:tc>
          <w:tcPr/>
          <w:p>
            <w:pPr>
              <w:pStyle w:val="Compact"/>
              <w:jc w:val="right"/>
            </w:pPr>
            <w:r>
              <w:t xml:space="preserve">8.8</w:t>
            </w:r>
          </w:p>
        </w:tc>
        <w:tc>
          <w:tcPr/>
          <w:p>
            <w:pPr>
              <w:pStyle w:val="Compact"/>
              <w:jc w:val="right"/>
            </w:pPr>
            <w:r>
              <w:t xml:space="preserve">22,959</w:t>
            </w:r>
          </w:p>
        </w:tc>
        <w:tc>
          <w:tcPr/>
          <w:p>
            <w:pPr>
              <w:pStyle w:val="Compact"/>
              <w:jc w:val="right"/>
            </w:pPr>
            <w:r>
              <w:t xml:space="preserve">29,149</w:t>
            </w:r>
          </w:p>
        </w:tc>
        <w:tc>
          <w:tcPr/>
          <w:p>
            <w:pPr>
              <w:pStyle w:val="Compact"/>
              <w:jc w:val="right"/>
            </w:pPr>
            <w:r>
              <w:t xml:space="preserve">10,065</w:t>
            </w:r>
          </w:p>
        </w:tc>
        <w:tc>
          <w:tcPr/>
          <w:p>
            <w:pPr>
              <w:pStyle w:val="Compact"/>
              <w:jc w:val="right"/>
            </w:pPr>
            <w:r>
              <w:t xml:space="preserve">17,057</w:t>
            </w:r>
          </w:p>
        </w:tc>
        <w:tc>
          <w:tcPr/>
          <w:p>
            <w:pPr>
              <w:pStyle w:val="Compact"/>
              <w:jc w:val="right"/>
            </w:pPr>
            <w:r>
              <w:t xml:space="preserve">55,010</w:t>
            </w:r>
          </w:p>
        </w:tc>
      </w:tr>
      <w:tr>
        <w:tc>
          <w:tcPr/>
          <w:p>
            <w:pPr>
              <w:pStyle w:val="Compact"/>
            </w:pPr>
            <w:r>
              <w:t xml:space="preserve">OOP from the wave-5 consumption module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9,542</w:t>
            </w:r>
          </w:p>
        </w:tc>
        <w:tc>
          <w:tcPr/>
          <w:p>
            <w:pPr>
              <w:pStyle w:val="Compact"/>
              <w:jc w:val="right"/>
            </w:pPr>
            <w:r>
              <w:t xml:space="preserve">15,868</w:t>
            </w:r>
          </w:p>
        </w:tc>
        <w:tc>
          <w:tcPr/>
          <w:p>
            <w:pPr>
              <w:pStyle w:val="Compact"/>
              <w:jc w:val="right"/>
            </w:pPr>
            <w:r>
              <w:t xml:space="preserve">51,920</w:t>
            </w:r>
          </w:p>
        </w:tc>
      </w:tr>
      <w:tr>
        <w:tc>
          <w:tcPr/>
          <w:p>
            <w:pPr>
              <w:pStyle w:val="Compact"/>
            </w:pPr>
            <w:r>
              <w:t xml:space="preserve">Top 1% of costs trimmed</w:t>
            </w:r>
          </w:p>
        </w:tc>
        <w:tc>
          <w:tcPr/>
          <w:p>
            <w:pPr>
              <w:pStyle w:val="Compact"/>
              <w:jc w:val="right"/>
            </w:pPr>
            <w:r>
              <w:t xml:space="preserve">13.6</w:t>
            </w:r>
          </w:p>
        </w:tc>
        <w:tc>
          <w:tcPr/>
          <w:p>
            <w:pPr>
              <w:pStyle w:val="Compact"/>
              <w:jc w:val="right"/>
            </w:pPr>
            <w:r>
              <w:t xml:space="preserve">6.6</w:t>
            </w:r>
          </w:p>
        </w:tc>
        <w:tc>
          <w:tcPr/>
          <w:p>
            <w:pPr>
              <w:pStyle w:val="Compact"/>
              <w:jc w:val="right"/>
            </w:pPr>
            <w:r>
              <w:t xml:space="preserve">17,234</w:t>
            </w:r>
          </w:p>
        </w:tc>
        <w:tc>
          <w:tcPr/>
          <w:p>
            <w:pPr>
              <w:pStyle w:val="Compact"/>
              <w:jc w:val="right"/>
            </w:pPr>
            <w:r>
              <w:t xml:space="preserve">21,850</w:t>
            </w:r>
          </w:p>
        </w:tc>
        <w:tc>
          <w:tcPr/>
          <w:p>
            <w:pPr>
              <w:pStyle w:val="Compact"/>
              <w:jc w:val="right"/>
            </w:pPr>
            <w:r>
              <w:t xml:space="preserve">9,994</w:t>
            </w:r>
          </w:p>
        </w:tc>
        <w:tc>
          <w:tcPr/>
          <w:p>
            <w:pPr>
              <w:pStyle w:val="Compact"/>
              <w:jc w:val="right"/>
            </w:pPr>
            <w:r>
              <w:t xml:space="preserve">9,224</w:t>
            </w:r>
          </w:p>
        </w:tc>
        <w:tc>
          <w:tcPr/>
          <w:p>
            <w:pPr>
              <w:pStyle w:val="Compact"/>
              <w:jc w:val="right"/>
            </w:pPr>
            <w:r>
              <w:t xml:space="preserve">31,420</w:t>
            </w:r>
          </w:p>
        </w:tc>
      </w:tr>
      <w:tr>
        <w:tc>
          <w:tcPr/>
          <w:p>
            <w:pPr>
              <w:pStyle w:val="Compact"/>
            </w:pPr>
            <w:r>
              <w:t xml:space="preserve">Formal = public-sector employee only</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10,048</w:t>
            </w:r>
          </w:p>
        </w:tc>
        <w:tc>
          <w:tcPr/>
          <w:p>
            <w:pPr>
              <w:pStyle w:val="Compact"/>
              <w:jc w:val="right"/>
            </w:pPr>
            <w:r>
              <w:t xml:space="preserve">14,996</w:t>
            </w:r>
          </w:p>
        </w:tc>
        <w:tc>
          <w:tcPr/>
          <w:p>
            <w:pPr>
              <w:pStyle w:val="Compact"/>
              <w:jc w:val="right"/>
            </w:pPr>
            <w:r>
              <w:t xml:space="preserve">48,675</w:t>
            </w:r>
          </w:p>
        </w:tc>
      </w:tr>
      <w:tr>
        <w:tc>
          <w:tcPr/>
          <w:p>
            <w:pPr>
              <w:pStyle w:val="Compact"/>
            </w:pPr>
            <w:r>
              <w:t xml:space="preserve">Formal = any wage employee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10,019</w:t>
            </w:r>
          </w:p>
        </w:tc>
        <w:tc>
          <w:tcPr/>
          <w:p>
            <w:pPr>
              <w:pStyle w:val="Compact"/>
              <w:jc w:val="right"/>
            </w:pPr>
            <w:r>
              <w:t xml:space="preserve">15,635</w:t>
            </w:r>
          </w:p>
        </w:tc>
        <w:tc>
          <w:tcPr/>
          <w:p>
            <w:pPr>
              <w:pStyle w:val="Compact"/>
              <w:jc w:val="right"/>
            </w:pPr>
            <w:r>
              <w:t xml:space="preserve">51,763</w:t>
            </w:r>
          </w:p>
        </w:tc>
      </w:tr>
      <w:tr>
        <w:tc>
          <w:tcPr/>
          <w:p>
            <w:pPr>
              <w:pStyle w:val="Compact"/>
            </w:pPr>
            <w:r>
              <w:t xml:space="preserve">Sector set by the household head</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10,039</w:t>
            </w:r>
          </w:p>
        </w:tc>
        <w:tc>
          <w:tcPr/>
          <w:p>
            <w:pPr>
              <w:pStyle w:val="Compact"/>
              <w:jc w:val="right"/>
            </w:pPr>
            <w:r>
              <w:t xml:space="preserve">15,331</w:t>
            </w:r>
          </w:p>
        </w:tc>
        <w:tc>
          <w:tcPr/>
          <w:p>
            <w:pPr>
              <w:pStyle w:val="Compact"/>
              <w:jc w:val="right"/>
            </w:pPr>
            <w:r>
              <w:t xml:space="preserve">49,933</w:t>
            </w:r>
          </w:p>
        </w:tc>
      </w:tr>
      <w:tr>
        <w:tc>
          <w:tcPr/>
          <w:p>
            <w:pPr>
              <w:pStyle w:val="Compact"/>
            </w:pPr>
            <w:r>
              <w:t xml:space="preserve">Tweedie p fixed at 1.4</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51,217</w:t>
            </w:r>
          </w:p>
        </w:tc>
      </w:tr>
      <w:tr>
        <w:tc>
          <w:tcPr/>
          <w:p>
            <w:pPr>
              <w:pStyle w:val="Compact"/>
            </w:pPr>
            <w:r>
              <w:t xml:space="preserve">Tweedie p fixed at 1.5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51,423</w:t>
            </w:r>
          </w:p>
        </w:tc>
      </w:tr>
      <w:tr>
        <w:tc>
          <w:tcPr/>
          <w:p>
            <w:pPr>
              <w:pStyle w:val="Compact"/>
            </w:pPr>
            <w:r>
              <w:t xml:space="preserve">Tweedie p fixed at 1.7</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51,449</w:t>
            </w:r>
          </w:p>
        </w:tc>
      </w:tr>
      <w:tr>
        <w:tc>
          <w:tcPr/>
          <w:p>
            <w:pPr>
              <w:pStyle w:val="Compact"/>
            </w:pPr>
            <w:r>
              <w:t xml:space="preserve">Induced-demand elasticity -0.10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18,014</w:t>
            </w:r>
          </w:p>
        </w:tc>
        <w:tc>
          <w:tcPr/>
          <w:p>
            <w:pPr>
              <w:pStyle w:val="Compact"/>
              <w:jc w:val="right"/>
            </w:pPr>
            <w:r>
              <w:t xml:space="preserve">22,874</w:t>
            </w:r>
          </w:p>
        </w:tc>
        <w:tc>
          <w:tcPr/>
          <w:p>
            <w:pPr>
              <w:pStyle w:val="Compact"/>
              <w:jc w:val="right"/>
            </w:pPr>
            <w:r>
              <w:t xml:space="preserve">10,022</w:t>
            </w:r>
          </w:p>
        </w:tc>
        <w:tc>
          <w:tcPr/>
          <w:p>
            <w:pPr>
              <w:pStyle w:val="Compact"/>
              <w:jc w:val="right"/>
            </w:pPr>
            <w:r>
              <w:t xml:space="preserve">11,253</w:t>
            </w:r>
          </w:p>
        </w:tc>
        <w:tc>
          <w:tcPr/>
          <w:p>
            <w:pPr>
              <w:pStyle w:val="Compact"/>
              <w:jc w:val="right"/>
            </w:pPr>
            <w:r>
              <w:t xml:space="preserve">41,525</w:t>
            </w:r>
          </w:p>
        </w:tc>
      </w:tr>
      <w:tr>
        <w:tc>
          <w:tcPr/>
          <w:p>
            <w:pPr>
              <w:pStyle w:val="Compact"/>
            </w:pPr>
            <w:r>
              <w:t xml:space="preserve">Induced-demand elasticity -0.20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Induced-demand elasticity -0.35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28,240</w:t>
            </w:r>
          </w:p>
        </w:tc>
        <w:tc>
          <w:tcPr/>
          <w:p>
            <w:pPr>
              <w:pStyle w:val="Compact"/>
              <w:jc w:val="right"/>
            </w:pPr>
            <w:r>
              <w:t xml:space="preserve">35,858</w:t>
            </w:r>
          </w:p>
        </w:tc>
        <w:tc>
          <w:tcPr/>
          <w:p>
            <w:pPr>
              <w:pStyle w:val="Compact"/>
              <w:jc w:val="right"/>
            </w:pPr>
            <w:r>
              <w:t xml:space="preserve">10,022</w:t>
            </w:r>
          </w:p>
        </w:tc>
        <w:tc>
          <w:tcPr/>
          <w:p>
            <w:pPr>
              <w:pStyle w:val="Compact"/>
              <w:jc w:val="right"/>
            </w:pPr>
            <w:r>
              <w:t xml:space="preserve">23,393</w:t>
            </w:r>
          </w:p>
        </w:tc>
        <w:tc>
          <w:tcPr/>
          <w:p>
            <w:pPr>
              <w:pStyle w:val="Compact"/>
              <w:jc w:val="right"/>
            </w:pPr>
            <w:r>
              <w:t xml:space="preserve">70,903</w:t>
            </w:r>
          </w:p>
        </w:tc>
      </w:tr>
      <w:tr>
        <w:tc>
          <w:tcPr/>
          <w:p>
            <w:pPr>
              <w:pStyle w:val="Compact"/>
            </w:pPr>
            <w:r>
              <w:t xml:space="preserve">Outpatient covered share 70%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17,983</w:t>
            </w:r>
          </w:p>
        </w:tc>
        <w:tc>
          <w:tcPr/>
          <w:p>
            <w:pPr>
              <w:pStyle w:val="Compact"/>
              <w:jc w:val="right"/>
            </w:pPr>
            <w:r>
              <w:t xml:space="preserve">22,835</w:t>
            </w:r>
          </w:p>
        </w:tc>
        <w:tc>
          <w:tcPr/>
          <w:p>
            <w:pPr>
              <w:pStyle w:val="Compact"/>
              <w:jc w:val="right"/>
            </w:pPr>
            <w:r>
              <w:t xml:space="preserve">10,022</w:t>
            </w:r>
          </w:p>
        </w:tc>
        <w:tc>
          <w:tcPr/>
          <w:p>
            <w:pPr>
              <w:pStyle w:val="Compact"/>
              <w:jc w:val="right"/>
            </w:pPr>
            <w:r>
              <w:t xml:space="preserve">11,258</w:t>
            </w:r>
          </w:p>
        </w:tc>
        <w:tc>
          <w:tcPr/>
          <w:p>
            <w:pPr>
              <w:pStyle w:val="Compact"/>
              <w:jc w:val="right"/>
            </w:pPr>
            <w:r>
              <w:t xml:space="preserve">41,692</w:t>
            </w:r>
          </w:p>
        </w:tc>
      </w:tr>
      <w:tr>
        <w:tc>
          <w:tcPr/>
          <w:p>
            <w:pPr>
              <w:pStyle w:val="Compact"/>
            </w:pPr>
            <w:r>
              <w:t xml:space="preserve">Outpatient covered share 85%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covered share 100%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24,934</w:t>
            </w:r>
          </w:p>
        </w:tc>
        <w:tc>
          <w:tcPr/>
          <w:p>
            <w:pPr>
              <w:pStyle w:val="Compact"/>
              <w:jc w:val="right"/>
            </w:pPr>
            <w:r>
              <w:t xml:space="preserve">31,659</w:t>
            </w:r>
          </w:p>
        </w:tc>
        <w:tc>
          <w:tcPr/>
          <w:p>
            <w:pPr>
              <w:pStyle w:val="Compact"/>
              <w:jc w:val="right"/>
            </w:pPr>
            <w:r>
              <w:t xml:space="preserve">10,022</w:t>
            </w:r>
          </w:p>
        </w:tc>
        <w:tc>
          <w:tcPr/>
          <w:p>
            <w:pPr>
              <w:pStyle w:val="Compact"/>
              <w:jc w:val="right"/>
            </w:pPr>
            <w:r>
              <w:t xml:space="preserve">19,434</w:t>
            </w:r>
          </w:p>
        </w:tc>
        <w:tc>
          <w:tcPr/>
          <w:p>
            <w:pPr>
              <w:pStyle w:val="Compact"/>
              <w:jc w:val="right"/>
            </w:pPr>
            <w:r>
              <w:t xml:space="preserve">61,122</w:t>
            </w:r>
          </w:p>
        </w:tc>
      </w:tr>
      <w:tr>
        <w:tc>
          <w:tcPr/>
          <w:p>
            <w:pPr>
              <w:pStyle w:val="Compact"/>
            </w:pPr>
            <w:r>
              <w:t xml:space="preserve">Drug co-payment 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24,731</w:t>
            </w:r>
          </w:p>
        </w:tc>
        <w:tc>
          <w:tcPr/>
          <w:p>
            <w:pPr>
              <w:pStyle w:val="Compact"/>
              <w:jc w:val="right"/>
            </w:pPr>
            <w:r>
              <w:t xml:space="preserve">31,402</w:t>
            </w:r>
          </w:p>
        </w:tc>
        <w:tc>
          <w:tcPr/>
          <w:p>
            <w:pPr>
              <w:pStyle w:val="Compact"/>
              <w:jc w:val="right"/>
            </w:pPr>
            <w:r>
              <w:t xml:space="preserve">10,022</w:t>
            </w:r>
          </w:p>
        </w:tc>
        <w:tc>
          <w:tcPr/>
          <w:p>
            <w:pPr>
              <w:pStyle w:val="Compact"/>
              <w:jc w:val="right"/>
            </w:pPr>
            <w:r>
              <w:t xml:space="preserve">19,232</w:t>
            </w:r>
          </w:p>
        </w:tc>
        <w:tc>
          <w:tcPr/>
          <w:p>
            <w:pPr>
              <w:pStyle w:val="Compact"/>
              <w:jc w:val="right"/>
            </w:pPr>
            <w:r>
              <w:t xml:space="preserve">60,429</w:t>
            </w:r>
          </w:p>
        </w:tc>
      </w:tr>
      <w:tr>
        <w:tc>
          <w:tcPr/>
          <w:p>
            <w:pPr>
              <w:pStyle w:val="Compact"/>
            </w:pPr>
            <w:r>
              <w:t xml:space="preserve">Drug co-payment 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Drug co-payment 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18,738</w:t>
            </w:r>
          </w:p>
        </w:tc>
        <w:tc>
          <w:tcPr/>
          <w:p>
            <w:pPr>
              <w:pStyle w:val="Compact"/>
              <w:jc w:val="right"/>
            </w:pPr>
            <w:r>
              <w:t xml:space="preserve">23,793</w:t>
            </w:r>
          </w:p>
        </w:tc>
        <w:tc>
          <w:tcPr/>
          <w:p>
            <w:pPr>
              <w:pStyle w:val="Compact"/>
              <w:jc w:val="right"/>
            </w:pPr>
            <w:r>
              <w:t xml:space="preserve">10,022</w:t>
            </w:r>
          </w:p>
        </w:tc>
        <w:tc>
          <w:tcPr/>
          <w:p>
            <w:pPr>
              <w:pStyle w:val="Compact"/>
              <w:jc w:val="right"/>
            </w:pPr>
            <w:r>
              <w:t xml:space="preserve">12,154</w:t>
            </w:r>
          </w:p>
        </w:tc>
        <w:tc>
          <w:tcPr/>
          <w:p>
            <w:pPr>
              <w:pStyle w:val="Compact"/>
              <w:jc w:val="right"/>
            </w:pPr>
            <w:r>
              <w:t xml:space="preserve">43,723</w:t>
            </w:r>
          </w:p>
        </w:tc>
      </w:tr>
    </w:tbl>
    <w:p>
      <w:pPr>
        <w:pStyle w:val="BodyText"/>
      </w:pPr>
      <w:r>
        <w:rPr>
          <w:b/>
          <w:bCs/>
        </w:rPr>
        <w:t xml:space="preserve">Table A12.</w:t>
      </w:r>
      <w:r>
        <w:t xml:space="preserve"> </w:t>
      </w:r>
      <w:r>
        <w:t xml:space="preserve">Wave 4 (2018/19) on the published aggregate, and the multinomial simulation shortcut checked against direct resampling.</w:t>
      </w:r>
    </w:p>
    <w:p>
      <w:pPr>
        <w:pStyle w:val="BodyText"/>
      </w:pPr>
      <w:r>
        <w:rPr>
          <w:i/>
          <w:iCs/>
        </w:rPr>
        <w:t xml:space="preserve">The wave-4 out-of-pocket measure comes from the published aggregate, which annualizes a one-month health recall by about twelve; it is not the wave-5 health-module measure.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w:t>
            </w:r>
          </w:p>
        </w:tc>
        <w:tc>
          <w:tcPr/>
          <w:p>
            <w:pPr>
              <w:pStyle w:val="Compact"/>
              <w:jc w:val="right"/>
            </w:pPr>
            <w:r>
              <w:t xml:space="preserve">1.0</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2.5</w:t>
            </w:r>
          </w:p>
        </w:tc>
        <w:tc>
          <w:tcPr/>
          <w:p>
            <w:pPr>
              <w:pStyle w:val="Compact"/>
              <w:jc w:val="right"/>
            </w:pPr>
            <w:r>
              <w:t xml:space="preserve">0.3</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w:t>
            </w:r>
          </w:p>
        </w:tc>
        <w:tc>
          <w:tcPr/>
          <w:p>
            <w:pPr>
              <w:pStyle w:val="Compact"/>
              <w:jc w:val="right"/>
            </w:pPr>
            <w:r>
              <w:t xml:space="preserve">0.7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106,551,633.8273</w:t>
            </w:r>
          </w:p>
        </w:tc>
        <w:tc>
          <w:tcPr/>
          <w:p>
            <w:pPr>
              <w:pStyle w:val="Compact"/>
              <w:jc w:val="right"/>
            </w:pPr>
            <w:r>
              <w:t xml:space="preserve">106,998,533.4510</w:t>
            </w:r>
          </w:p>
        </w:tc>
        <w:tc>
          <w:tcPr/>
          <w:p>
            <w:pPr>
              <w:pStyle w:val="Compact"/>
              <w:jc w:val="right"/>
            </w:pPr>
            <w:r>
              <w:t xml:space="preserve">-0.0042</w:t>
            </w:r>
          </w:p>
        </w:tc>
      </w:tr>
      <w:tr>
        <w:tc>
          <w:tcPr/>
          <w:p>
            <w:pPr>
              <w:pStyle w:val="Compact"/>
            </w:pPr>
            <w:r>
              <w:t xml:space="preserve">sd</w:t>
            </w:r>
          </w:p>
        </w:tc>
        <w:tc>
          <w:tcPr/>
          <w:p>
            <w:pPr>
              <w:pStyle w:val="Compact"/>
              <w:jc w:val="right"/>
            </w:pPr>
            <w:r>
              <w:t xml:space="preserve">8,756,655.2576</w:t>
            </w:r>
          </w:p>
        </w:tc>
        <w:tc>
          <w:tcPr/>
          <w:p>
            <w:pPr>
              <w:pStyle w:val="Compact"/>
              <w:jc w:val="right"/>
            </w:pPr>
            <w:r>
              <w:t xml:space="preserve">8,380,500.3197</w:t>
            </w:r>
          </w:p>
        </w:tc>
        <w:tc>
          <w:tcPr/>
          <w:p>
            <w:pPr>
              <w:pStyle w:val="Compact"/>
              <w:jc w:val="right"/>
            </w:pPr>
            <w:r>
              <w:t xml:space="preserve">0.0449</w:t>
            </w:r>
          </w:p>
        </w:tc>
      </w:tr>
      <w:tr>
        <w:tc>
          <w:tcPr/>
          <w:p>
            <w:pPr>
              <w:pStyle w:val="Compact"/>
            </w:pPr>
            <w:r>
              <w:t xml:space="preserve">p95</w:t>
            </w:r>
          </w:p>
        </w:tc>
        <w:tc>
          <w:tcPr/>
          <w:p>
            <w:pPr>
              <w:pStyle w:val="Compact"/>
              <w:jc w:val="right"/>
            </w:pPr>
            <w:r>
              <w:t xml:space="preserve">121,812,991.1793</w:t>
            </w:r>
          </w:p>
        </w:tc>
        <w:tc>
          <w:tcPr/>
          <w:p>
            <w:pPr>
              <w:pStyle w:val="Compact"/>
              <w:jc w:val="right"/>
            </w:pPr>
            <w:r>
              <w:t xml:space="preserve">121,464,785.7158</w:t>
            </w:r>
          </w:p>
        </w:tc>
        <w:tc>
          <w:tcPr/>
          <w:p>
            <w:pPr>
              <w:pStyle w:val="Compact"/>
              <w:jc w:val="right"/>
            </w:pPr>
            <w:r>
              <w:t xml:space="preserve">0.0029</w:t>
            </w:r>
          </w:p>
        </w:tc>
      </w:tr>
      <w:tr>
        <w:tc>
          <w:tcPr/>
          <w:p>
            <w:pPr>
              <w:pStyle w:val="Compact"/>
            </w:pPr>
            <w:r>
              <w:t xml:space="preserve">p99</w:t>
            </w:r>
          </w:p>
        </w:tc>
        <w:tc>
          <w:tcPr/>
          <w:p>
            <w:pPr>
              <w:pStyle w:val="Compact"/>
              <w:jc w:val="right"/>
            </w:pPr>
            <w:r>
              <w:t xml:space="preserve">128,191,863.5854</w:t>
            </w:r>
          </w:p>
        </w:tc>
        <w:tc>
          <w:tcPr/>
          <w:p>
            <w:pPr>
              <w:pStyle w:val="Compact"/>
              <w:jc w:val="right"/>
            </w:pPr>
            <w:r>
              <w:t xml:space="preserve">127,976,142.7164</w:t>
            </w:r>
          </w:p>
        </w:tc>
        <w:tc>
          <w:tcPr/>
          <w:p>
            <w:pPr>
              <w:pStyle w:val="Compact"/>
              <w:jc w:val="right"/>
            </w:pPr>
            <w:r>
              <w:t xml:space="preserve">0.0017</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2026-09-14T16:56:57Z</dcterms:created>
  <dcterms:modified xsi:type="dcterms:W3CDTF">2026-09-14T16:56:57Z</dcterms:modified>
</cp:coreProperties>
</file>

<file path=docProps/custom.xml><?xml version="1.0" encoding="utf-8"?>
<Properties xmlns="http://schemas.openxmlformats.org/officeDocument/2006/custom-properties" xmlns:vt="http://schemas.openxmlformats.org/officeDocument/2006/docPropsVTypes"/>
</file>