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2.png" ContentType="image/png"/>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9f5dcde753179ab108a7b9e9925d363435421"/>
    <w:p>
      <w:pPr>
        <w:pStyle w:val="Heading1"/>
      </w:pPr>
      <w:r>
        <w:t xml:space="preserve">Measuring the Health-Protection Gap and Actuarially Pricing Informal-Sector Health Insurance under Nigeria’s NHIA Act 2022</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Elizabeth Iroko</w:t>
      </w:r>
      <w:r>
        <w:t xml:space="preserve">²,</w:t>
      </w:r>
      <w:r>
        <w:t xml:space="preserve"> </w:t>
      </w:r>
      <w:r>
        <w:rPr>
          <w:b/>
          <w:bCs/>
        </w:rPr>
        <w:t xml:space="preserve">Oluwakemi Oyinlade</w:t>
      </w:r>
      <w:r>
        <w:t xml:space="preserve">¹</w:t>
      </w:r>
    </w:p>
    <w:p>
      <w:pPr>
        <w:pStyle w:val="BodyText"/>
      </w:pPr>
      <w:r>
        <w:t xml:space="preserve">¹ Department of Actuarial Science, University of Lagos, Lagos, Nigeria. obabalola4@student.gsu.edu</w:t>
      </w:r>
    </w:p>
    <w:p>
      <w:pPr>
        <w:pStyle w:val="BodyText"/>
      </w:pPr>
      <w:r>
        <w:t xml:space="preserve">² Department of Chemistry, University of Jos, Jos, Nigeria.</w:t>
      </w:r>
    </w:p>
    <w:p>
      <w:pPr>
        <w:pStyle w:val="BodyText"/>
      </w:pPr>
      <w:r>
        <w:rPr>
          <w:b/>
          <w:bCs/>
        </w:rPr>
        <w:t xml:space="preserve">Word count.</w:t>
      </w:r>
      <w:r>
        <w:t xml:space="preserve"> </w:t>
      </w:r>
      <w:r>
        <w:t xml:space="preserve">5,457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mandates health insurance and creates a Vulnerable Group Fund, but informal-sector workers remain almost entirely uncovered. No study has priced the statutory package, tested the solvency of a pool providing it, and measured the protection it would buy.</w:t>
      </w:r>
    </w:p>
    <w:p>
      <w:pPr>
        <w:pStyle w:val="BodyText"/>
      </w:pPr>
      <w:r>
        <w:rPr>
          <w:b/>
          <w:bCs/>
        </w:rPr>
        <w:t xml:space="preserve">Methods.</w:t>
      </w:r>
      <w:r>
        <w:t xml:space="preserve"> </w:t>
      </w:r>
      <w:r>
        <w:t xml:space="preserve">Using the General Household Survey-Panel 2023/24 (4,685 households, 24,629 individuals), we estimated catastrophic health expenditure (CHE) on a consumption aggregate calibrated to published wave-4 data, with bounds for the annualized outpatient recall. We priced the NHIA basic package from individual cost models with induced demand and simulated pool ruin under alternative take-up, contribution schedules and reinsurance, with design-based bootstrap intervals.</w:t>
      </w:r>
    </w:p>
    <w:p>
      <w:pPr>
        <w:pStyle w:val="BodyText"/>
      </w:pPr>
      <w:r>
        <w:rPr>
          <w:b/>
          <w:bCs/>
        </w:rPr>
        <w:t xml:space="preserve">Results.</w:t>
      </w:r>
      <w:r>
        <w:t xml:space="preserve"> </w:t>
      </w:r>
      <w:r>
        <w:t xml:space="preserve">Insurance covers 1.07% of individuals. CHE at the 10% budget-share threshold affects 14.1% of the population (6.7% to 14.1% across recall bounds; 16.7% uncalibrated) and 7.9% on capacity to pay, the only measure concentrated among the poor. The gross premium is ₦27,247 per person-year (95% interval ₦24,270 to ₦30,388) against a contribution ceiling of ₦10,022. A 20,000-life pool needs a subsidy of ₦15,339 per enrollee under random take-up and ₦51,401 under strong adverse selection at low take-up. Graded contributions halve the subsidy; reinsurance does not reduce it. Fully subsidized coverage cuts CHE to 4.4%; a flat contribution leaves it at 11.5%.</w:t>
      </w:r>
    </w:p>
    <w:p>
      <w:pPr>
        <w:pStyle w:val="BodyText"/>
      </w:pPr>
      <w:r>
        <w:rPr>
          <w:b/>
          <w:bCs/>
        </w:rPr>
        <w:t xml:space="preserve">Conclusions.</w:t>
      </w:r>
      <w:r>
        <w:t xml:space="preserve"> </w:t>
      </w:r>
      <w:r>
        <w:t xml:space="preserve">The statutory package costs 2.7 times what intended beneficiaries can pay. The gap is expected cost, not volatility: enrollment mechanism, contribution design and the size of the Vulnerable Group Fund decide whether coverage protects poor households.</w:t>
      </w:r>
    </w:p>
    <w:p>
      <w:pPr>
        <w:pStyle w:val="BodyText"/>
      </w:pPr>
      <w:r>
        <w:rPr>
          <w:b/>
          <w:bCs/>
        </w:rPr>
        <w:t xml:space="preserve">Keywords.</w:t>
      </w:r>
      <w:r>
        <w:t xml:space="preserve"> </w:t>
      </w:r>
      <w:r>
        <w:t xml:space="preserve">catastrophic health expenditure; informal sector; health insurance pricing; Tweedie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Out-of-pocket payments financed 71.9% of Nigeria’s current health expenditure in 2023, among the highest shares recorded anywhere (WHO Global Health Expenditure Database). The National Health Insurance Authority (NHIA) Act 2022 was meant to change this: it makes health insurance mandatory, requires every state to run a scheme, obliges employers with five or more staff to enroll their workers, and creates a Vulnerable Group Fund to pay for those who cannot pay for themselves (Federal Republic of Nigeria 2022). Enrollment remains low, at about 22 million people or under a tenth of the population, and most Nigerian workers are informally employed. In the 2023/24 survey year analyzed here, 1.07% of individuals held health insurance.</w:t>
      </w:r>
    </w:p>
    <w:p>
      <w:pPr>
        <w:pStyle w:val="BodyText"/>
      </w:pPr>
      <w:r>
        <w:t xml:space="preserve">A substantial Nigerian literature measures catastrophic health expenditure (Aregbeshola and Khan 2018; Edeh 2022; Opeloyeru and Lawanson 2023), and a commentary literature assesses the Act (Ipinnimo et al. 2022; Ahmad and Lucero-Prisno 2022). Neither tells a state scheme what the statutory package costs per enrollee, how much of that cost informal workers can carry, how large a subsidy keeps a voluntary pool solvent, or how much financial protection the package would deliver once the newly insured use more care. Those are actuarial questions, and this paper answers them on one nationally representative dataset.</w:t>
      </w:r>
    </w:p>
    <w:p>
      <w:pPr>
        <w:pStyle w:val="BodyText"/>
      </w:pPr>
      <w:r>
        <w:t xml:space="preserve">The paper makes three contributions. First, it measures the protection gap under both the budget-share and the capacity-to-pay definitions, with an explicit treatment of the two measurement choices that dominate Nigerian estimates: the annualization of a four-week recall window and the construction of the consumption denominator. Second, it builds a transparent actuarial premium for the NHIA basic package from individual cost models, with design-based bootstrap intervals. Third, it embeds the cost distribution in a collective-risk model and asks what subsidy, take-up rate, contribution schedule and reinsurance arrangement a state pool needs to stay solvent, then recomputes catastrophic expenditure under each financing design. The central finding is that the gap between the actuarial price and what informal households can pay is an expected-value gap, not a volatility gap: it cannot be pooled, reinsured or diversified away, and it is multiplied by voluntary enrollment.</w:t>
      </w:r>
    </w:p>
    <w:bookmarkEnd w:id="10"/>
    <w:bookmarkStart w:id="14" w:name="background"/>
    <w:p>
      <w:pPr>
        <w:pStyle w:val="Heading2"/>
      </w:pPr>
      <w:r>
        <w:t xml:space="preserve">2. Background</w:t>
      </w:r>
    </w:p>
    <w:bookmarkStart w:id="11" w:name="the-nhia-act-2022"/>
    <w:p>
      <w:pPr>
        <w:pStyle w:val="Heading3"/>
      </w:pPr>
      <w:r>
        <w:t xml:space="preserve">2.1 The NHIA Act 2022</w:t>
      </w:r>
    </w:p>
    <w:p>
      <w:pPr>
        <w:pStyle w:val="FirstParagraph"/>
      </w:pPr>
      <w:r>
        <w:t xml:space="preserve">The Act replaced the National Health Insurance Scheme with an Authority and changed four things that matter here. Coverage became mandatory in law. Each state became the operative risk-bearing unit through a State Health Insurance Scheme. Employers with five or more staff were obliged to enroll their workers, a threshold we use to define formal employment. And the Vulnerable Group Fund, financed in part from the Basic Health Care Provision Fund, was created to subsidize those who cannot contribute. Ipinnimo et al. (2022) review the Act’s provisions and list low government funding, workforce shortages and enforcement of the mandate as its main implementation risks; Ahmad and Lucero-Prisno (2022) call for an explicit definition of the vulnerable group and sustainable funding for the Authority. Neither attaches a number to the subsidy the Act’s design requires. Several states have announced informal-sector contribution rates; Lagos State’s Ilera Eko plan charges ₦15,000 a year for an individual and ₦55,000 for a family of four (July 2024). These rates are set administratively rather than actuarially, and we compare them with the modeled premium. A survey of insurance firms in Lagos, on which the present author worked, assessed social insurance as a strategy for extending social protection in Nigeria (Shogunro et al. 2023).</w:t>
      </w:r>
    </w:p>
    <w:bookmarkEnd w:id="11"/>
    <w:bookmarkStart w:id="12" w:name="measuring-catastrophic-expenditure"/>
    <w:p>
      <w:pPr>
        <w:pStyle w:val="Heading3"/>
      </w:pPr>
      <w:r>
        <w:t xml:space="preserve">2.2 Measuring catastrophic expenditure</w:t>
      </w:r>
    </w:p>
    <w:p>
      <w:pPr>
        <w:pStyle w:val="FirstParagraph"/>
      </w:pPr>
      <w:r>
        <w:t xml:space="preserve">Two traditions coexist. The budget-share approach flags a household when health spending exceeds a fixed share of total consumption; it underlies SDG indicator 3.8.2 at the 10% and 25% thresholds and the global monitoring of Wagstaff et al. (2018) and WHO and World Bank (2023). The capacity-to-pay approach of Xu et al. (2003) compares health spending with consumption net of subsistence needs. Cylus et al. (2018) show for 14 European countries that the budget-share measure identifies richer households more often than poorer ones, while a normative-subsistence denominator concentrates catastrophic spending among the poor; Quintal (2019) makes the same point for Portugal and argues that distribution must be reported alongside incidence. Wagstaff and van Doorslaer (2003) introduced the overshoot measures used here, O’Donnell et al. (2008) codified their survey-based estimation, and Erreygers (2009) supplies the correction for binary outcomes. Shrime et al. (2015) show that catastrophic-expenditure estimates are sensitive to the definition adopted.</w:t>
      </w:r>
    </w:p>
    <w:p>
      <w:pPr>
        <w:pStyle w:val="BodyText"/>
      </w:pPr>
      <w:r>
        <w:t xml:space="preserve">For Nigeria, Aregbeshola and Khan (2018) report an incidence of 16.4% at the 10% threshold for 2009/10, and Edeh (2022) reports a rise across three later survey rounds.</w:t>
      </w:r>
    </w:p>
    <w:bookmarkEnd w:id="12"/>
    <w:bookmarkStart w:id="13" w:name="X8841febdfa66d4278cc37ca7b78b47a799da192"/>
    <w:p>
      <w:pPr>
        <w:pStyle w:val="Heading3"/>
      </w:pPr>
      <w:r>
        <w:t xml:space="preserve">2.3 Informal workers, willingness to pay, and pricing</w:t>
      </w:r>
    </w:p>
    <w:p>
      <w:pPr>
        <w:pStyle w:val="FirstParagraph"/>
      </w:pPr>
      <w:r>
        <w:t xml:space="preserve">Extending coverage to informal workers is the binding problem for universal coverage in most low- and middle-income countries. Contributions cannot be collected through payroll and enrollment is voluntary in practice whatever the statute says, so who joins is decided by the household. Onasanya (2020) argues for demography-specific communication to raise informal-sector enrollment in Nigeria. Artignan and Bellanger (2021) review 16 studies of community-based health insurance in sub-Saharan Africa and find strong evidence that it raises outpatient use, weak evidence for inpatient use, and little evidence on equity. Jofre-Bonet and Kamara (2018) elicit willingness to pay among informal workers in Sierra Leone and find a mean of about USD 3.6 per adult per month, close to 5% of average monthly business income; they do not cost the package such a premium would fund. The 5% share is the same figure used as the affordability ceiling here.</w:t>
      </w:r>
    </w:p>
    <w:p>
      <w:pPr>
        <w:pStyle w:val="BodyText"/>
      </w:pPr>
      <w:r>
        <w:t xml:space="preserve">Aggregate annual health cost per person has a point mass at zero and a long right tail, the structure the Tweedie compound Poisson-gamma family was built for (Smyth and Jørgensen 2002; Dunn and Smyth 2005). Klugman, Panjer and Willmot (2019) give the collective-risk and premium-principle framework, and Wüthrich (2015) links classical ruin probability to solvency capital. The demand response to insurance is the parameter that most affects a price: the RAND Health Insurance Experiment gives an arc elasticity near −0.2 (Manning et al. 1987), and Boes and Gerfin (2016) estimate about −0.14 from a Swiss policy change together with a rise in the probability of any cost.</w:t>
      </w:r>
    </w:p>
    <w:bookmarkEnd w:id="13"/>
    <w:bookmarkEnd w:id="14"/>
    <w:bookmarkStart w:id="15" w:name="data"/>
    <w:p>
      <w:pPr>
        <w:pStyle w:val="Heading2"/>
      </w:pPr>
      <w:r>
        <w:t xml:space="preserve">3. Data</w:t>
      </w:r>
    </w:p>
    <w:p>
      <w:pPr>
        <w:pStyle w:val="FirstParagraph"/>
      </w:pPr>
      <w:r>
        <w:rPr>
          <w:b/>
          <w:bCs/>
        </w:rPr>
        <w:t xml:space="preserve">Source and sample.</w:t>
      </w:r>
      <w:r>
        <w:t xml:space="preserve"> </w:t>
      </w:r>
      <w:r>
        <w:t xml:space="preserve">The Nigeria General Household Survey-Panel (GHS-Panel) is collected by the National Bureau of Statistics with the World Bank LSMS-ISA program. Wave 5 (2023/24) is the analysis file; wave 4 (2018/19), which carries a published consumption aggregate, is used for calibration and comparison. After dropping households without a cross-sectional weight, the file holds 4,685 households and 24,629 individuals in 511 enumeration areas across six strata; the weight grosses to 40.6 million households and 211 million people. Household characteristics are weighted by the household weight; catastrophic-expenditure rates weight households by household size, so they are the share of people living in an affected household, following the SDG 3.8.2 convention. Household-weighted rates are reported alongside.</w:t>
      </w:r>
    </w:p>
    <w:p>
      <w:pPr>
        <w:pStyle w:val="BodyText"/>
      </w:pPr>
      <w:r>
        <w:rPr>
          <w:b/>
          <w:bCs/>
        </w:rPr>
        <w:t xml:space="preserve">Out-of-pocket spending.</w:t>
      </w:r>
      <w:r>
        <w:t xml:space="preserve"> </w:t>
      </w:r>
      <w:r>
        <w:t xml:space="preserve">The health module asks every member whether they sought care in the past four weeks and what was paid for the consultation (explicitly excluding drugs), prescription drugs and non-prescription drugs, and separately about hospitalization and its cost over twelve months. The drug questions exclude drugs related to admissions and the hospitalization question includes them, so the two components do not overlap. Drugs are 86.25% of measured outpatient spending. Transport is excluded, following WHO practice, and tested as a variant. The non-food consumption module also asks a single twelve-month question about health spending; only 17% of households report any, implying a spending share of 0.3% of consumption against 4.9% in the published wave-4 aggregate, so it is not used.</w:t>
      </w:r>
    </w:p>
    <w:p>
      <w:pPr>
        <w:pStyle w:val="BodyText"/>
      </w:pPr>
      <w:r>
        <w:rPr>
          <w:b/>
          <w:bCs/>
        </w:rPr>
        <w:t xml:space="preserve">Annualization.</w:t>
      </w:r>
      <w:r>
        <w:t xml:space="preserve"> </w:t>
      </w:r>
      <w:r>
        <w:t xml:space="preserve">Outpatient spending observed in a four-week window is scaled by 13; inpatient spending is already annual. Scaling the window assumes the other twelve windows repeat the observed one, which maximizes the dispersion of annual spending across households and therefore the share crossing any threshold. The published wave-4 aggregate scales its own one-month health item by about twelve, so the convention is shared with the official statistics. Section 5.6 bounds its effect.</w:t>
      </w:r>
    </w:p>
    <w:p>
      <w:pPr>
        <w:pStyle w:val="BodyText"/>
      </w:pPr>
      <w:r>
        <w:rPr>
          <w:b/>
          <w:bCs/>
        </w:rPr>
        <w:t xml:space="preserve">Consumption.</w:t>
      </w:r>
      <w:r>
        <w:t xml:space="preserve"> </w:t>
      </w:r>
      <w:r>
        <w:t xml:space="preserve">Wave 5 publishes no consumption aggregate. One is rebuilt from the food module (seven-day recall, own production and gifts valued at local median unit values), three non-food modules and the education module, with health spending entering once from the health module. The same code run on wave 4 recovers 84% of the published aggregate, ranks households with a Spearman correlation of 0.80, and omits imputed rent. Holding out-of-pocket spending fixed, that shortfall raises CHE at the 10% threshold on wave 4 from 14.1% with the official aggregate to 17.6% with the rebuilt one. The main results therefore use a calibrated aggregate: each rebuilt component is scaled by the ratio of its official to its rebuilt wave-4 mean (1.158 for food, 0.892 for non-food) and imputed rent is added at the official rent-to-non-rent ratio (0.069). Imputed rent is 6.4% of calibrated wave-5 consumption. Applied to wave 4 itself the calibrated aggregate recovers 96% of the official level and gives CHE of 15.2% against 14.1% (Table A1). Uncalibrated results are reported throughout so the effect of the calibration is visible.</w:t>
      </w:r>
    </w:p>
    <w:p>
      <w:pPr>
        <w:pStyle w:val="BodyText"/>
      </w:pPr>
      <w:r>
        <w:rPr>
          <w:b/>
          <w:bCs/>
        </w:rPr>
        <w:t xml:space="preserve">Coverage and sector.</w:t>
      </w:r>
      <w:r>
        <w:t xml:space="preserve"> </w:t>
      </w:r>
      <w:r>
        <w:t xml:space="preserve">Section 5A asks whether any household member holds insurance, of what type, and which members are covered; the health type was identified by the fact that all ten households reporting a health-insurance premium in the consumption module report type 1. A worker is formal when the employer is a public body, state-owned enterprise, NGO or international organization, or a private firm with five or more staff; a household is informal if it contains no formal worker. On this rule 81.2% of households are informal (80.0% of the population). Three alternative rules are tested.</w:t>
      </w:r>
    </w:p>
    <w:p>
      <w:pPr>
        <w:pStyle w:val="BodyText"/>
      </w:pPr>
      <w:r>
        <w:rPr>
          <w:b/>
          <w:bCs/>
        </w:rPr>
        <w:t xml:space="preserve">Prices and poverty line.</w:t>
      </w:r>
      <w:r>
        <w:t xml:space="preserve"> </w:t>
      </w:r>
      <w:r>
        <w:t xml:space="preserve">All naira are constant August-2023 prices. The 2019 national poverty line of ₦137,430 per person per year (National Bureau of Statistics 2020) is carried forward with the composite CPI (factor 2.31) to ₦317,463.</w:t>
      </w:r>
    </w:p>
    <w:bookmarkEnd w:id="15"/>
    <w:bookmarkStart w:id="22" w:name="methods"/>
    <w:p>
      <w:pPr>
        <w:pStyle w:val="Heading2"/>
      </w:pPr>
      <w:r>
        <w:t xml:space="preserve">4. Methods</w:t>
      </w:r>
    </w:p>
    <w:bookmarkStart w:id="16" w:name="catastrophic-expenditure-and-inequality"/>
    <w:p>
      <w:pPr>
        <w:pStyle w:val="Heading3"/>
      </w:pPr>
      <w:r>
        <w:t xml:space="preserve">4.1 Catastrophic expenditure and inequality</w:t>
      </w:r>
    </w:p>
    <w:p>
      <w:pPr>
        <w:pStyle w:val="FirstParagraph"/>
      </w:pPr>
      <w:r>
        <w:t xml:space="preserve">Under the budget-share definition a household is catastrophic if OOP/C exceeds 10%, 25% or 40% of total consumption C. Under the capacity-to-pay definition (Xu et al. 2003) household size is equivalized as size^0.56, subsistence spending per equivalent adult is the weighted mean food spending of households whose food share lies between the 45th and 55th percentiles, capacity to pay is consumption net of subsistence (or net of actual food spending where that is smaller), and the threshold is 40% of it. Intensity is the mean overshoot among affected households (Wagstaff and van Doorslaer 2003). Impoverishment compares poverty headcounts gross and net of out-of-pocket payments.</w:t>
      </w:r>
    </w:p>
    <w:p>
      <w:pPr>
        <w:pStyle w:val="BodyText"/>
      </w:pPr>
      <w:r>
        <w:t xml:space="preserve">Inequality is summarized by the concentration index, CI = 2 cov(y, r)/mean(y), where r is the weighted fractional rank in per-capita consumption, with the Erreygers (2009) correction for binary outcomes and design-based standard errors from linearizing each index as a function of totals. All standard errors are Taylor-linearized for a stratified single-stage cluster design with enumeration areas as primary sampling units (Lumley 2004); domain estimates zero the weights outside the domain rather than dropping rows. Changes between scenarios are tested on the household-level difference, since the same households appear under both regimes.</w:t>
      </w:r>
    </w:p>
    <w:bookmarkEnd w:id="16"/>
    <w:bookmarkStart w:id="17" w:name="cost-models"/>
    <w:p>
      <w:pPr>
        <w:pStyle w:val="Heading3"/>
      </w:pPr>
      <w:r>
        <w:t xml:space="preserve">4.2 Cost models</w:t>
      </w:r>
    </w:p>
    <w:p>
      <w:pPr>
        <w:pStyle w:val="FirstParagraph"/>
      </w:pPr>
      <w:r>
        <w:t xml:space="preserve">The unit is the individual-year and the models are survey-weighted with standard errors clustered on the enumeration area. Outpatient contact within the four-week window is modeled as a Poisson count with an offset of log(4/52), so fitted values are annual rates; inpatient episodes are modeled over twelve months without an offset. Cost per episode is modeled with gamma and lognormal GLMs. Annual cost per person is modeled with a Tweedie compound Poisson-gamma GLM with a log link, the variance power chosen by profile likelihood over 1.20 to 1.85; its fitted values are the predicted cost that drives the adverse-selection scenarios. Covariates are age band, sex, zone, urban residence, consumption quintile, severe functional difficulty from the Washington Group short set, and household size. Diagnostics are randomized quantile residuals (Dunn and Smyth 1996) and an observed-against-predicted lift table.</w:t>
      </w:r>
    </w:p>
    <w:bookmarkEnd w:id="17"/>
    <w:bookmarkStart w:id="18" w:name="benefit-mapping-and-premium"/>
    <w:p>
      <w:pPr>
        <w:pStyle w:val="Heading3"/>
      </w:pPr>
      <w:r>
        <w:t xml:space="preserve">4.3 Benefit mapping and premium</w:t>
      </w:r>
    </w:p>
    <w:p>
      <w:pPr>
        <w:pStyle w:val="FirstParagraph"/>
      </w:pPr>
      <w:r>
        <w:t xml:space="preserve">The NHIA tariff schedule is not published in machine-readable form, so the package is defined by parameters, each a robustness lever. Traditional and spiritual care is excluded. Of the remainder, 85% of outpatient and 90% of inpatient spending is assumed to fall inside the package. Covered outpatient spending is split into drugs, which carry the NHIA’s 10% co-payment, and services, which are free at the point of use. Induced demand uses the arc (midpoint) elasticity: with e = −0.20 and the patient’s price falling from 1.0 to zero, use rises by a factor (1 + x)/(1 − x) with x = e(p1 − p0)/(p0 + p1), which is 1.50 for services and 1.39 for drugs. The insurer’s expected cost per enrollee is the pure premium. A risk margin is added on the standard-deviation principle (0.10 σ/√n) or, alternatively, as a 95% CVaR margin on the simulated pool mean; an administrative load of 15% and an adverse-selection load of 10% then give the gross premium. Affordability is judged against 5% of per-capita consumption; the contribution ceiling for the target population is 5% of the mean per-capita consumption of informal-sector members of the bottom three quintiles.</w:t>
      </w:r>
    </w:p>
    <w:bookmarkEnd w:id="18"/>
    <w:bookmarkStart w:id="19" w:name="pool-solvency-and-financing-designs"/>
    <w:p>
      <w:pPr>
        <w:pStyle w:val="Heading3"/>
      </w:pPr>
      <w:r>
        <w:t xml:space="preserve">4.4 Pool solvency and financing designs</w:t>
      </w:r>
    </w:p>
    <w:p>
      <w:pPr>
        <w:pStyle w:val="FirstParagraph"/>
      </w:pPr>
      <w:r>
        <w:t xml:space="preserve">A discrete-time collective-risk model tracks the surplus of a pool of n enrollees, U_t = U_(t−1) + n(C + s)(1 − e) − S_t, where C is the mean member contribution, s the subsidy per enrollee, e the expense ratio (10%), and S_t aggregate claims in year t, drawn by resampling annual insurer costs from the informal-sector population with survey weights (Klugman et al. 2019). Ruin is a negative surplus in any year of a one- or three-year horizon. The minimum subsidy holding the ruin probability below 5% or 1% is found by bisection on a fixed set of 10,000 simulated claim paths, so every financing scenario faces the same simulated experience. The empirical cost distribution is collapsed to its distinct values and each pool-year is drawn as one multinomial, which is exact and is checked against direct resampling (Table A12).</w:t>
      </w:r>
    </w:p>
    <w:p>
      <w:pPr>
        <w:pStyle w:val="BodyText"/>
      </w:pPr>
      <w:r>
        <w:t xml:space="preserve">Adverse selection tilts enrollment odds by a factor of 1.5 or 2.0 per standard deviation of log predicted cost. Because a tilt is only possible when some people stay out, a take-up grid sets the enrollment probability to min(1, k × tilt) with k chosen so mean take-up equals 10%, 25%, 50%, 75% or 100%; at 100% take-up no selection is possible, which is the mandatory case. Three contribution schedules are compared: flat (the bottom-three-quintile ceiling for everyone), graded (each quintile’s own ceiling) and exempt (Q1 and Q2 pay nothing, Q3 to Q5 graded). Per-life excess-of-loss reinsurance at retentions of ₦250,000, ₦500,000 and ₦1 million is priced at 1.3 times the expected ceded cost. A permanent 25% rise in claims from year 2 is the stress scenario.</w:t>
      </w:r>
    </w:p>
    <w:bookmarkEnd w:id="19"/>
    <w:bookmarkStart w:id="20" w:name="coverage-counterfactual"/>
    <w:p>
      <w:pPr>
        <w:pStyle w:val="Heading3"/>
      </w:pPr>
      <w:r>
        <w:t xml:space="preserve">4.5 Coverage counterfactual</w:t>
      </w:r>
    </w:p>
    <w:p>
      <w:pPr>
        <w:pStyle w:val="FirstParagraph"/>
      </w:pPr>
      <w:r>
        <w:t xml:space="preserve">Covered individuals pay the drug co-payment plus anything outside the package on the higher utilization induced demand implies; uncovered individuals keep their observed spending. Non-health consumption is held fixed and any contribution is a new call on the same budget. Catastrophic expenditure is recomputed on two bases: out-of-pocket payments alone (the SDG convention) and out-of-pocket payments plus the contribution. The exercise is an accounting simulation, not a causal estimate.</w:t>
      </w:r>
    </w:p>
    <w:bookmarkEnd w:id="20"/>
    <w:bookmarkStart w:id="21" w:name="recall-bounds-and-bootstrap"/>
    <w:p>
      <w:pPr>
        <w:pStyle w:val="Heading3"/>
      </w:pPr>
      <w:r>
        <w:t xml:space="preserve">4.6 Recall bounds and bootstrap</w:t>
      </w:r>
    </w:p>
    <w:p>
      <w:pPr>
        <w:pStyle w:val="FirstParagraph"/>
      </w:pPr>
      <w:r>
        <w:t xml:space="preserve">The annualization is bounded by two extremes. The upper case scales each person’s observed window to a year (full within-year persistence). The lower case draws each person’s annual outpatient cost as a sum of N independent four-week windows, N ~ Poisson(13 × p̂), where p̂ is the fitted contact probability, with episode costs resampled from observed episodes in the person’s quintile; 20 replicates are averaged. Both are carried through CHE, the premium and the subsidy, with the ×12 and ×10 multipliers alongside. A Rao-Wu rescaled bootstrap over enumeration areas within strata (200 replicates) gives percentile intervals for the premium, the expected claim and the minimum subsidy, quantities for which no linearized standard error exists.</w:t>
      </w:r>
    </w:p>
    <w:bookmarkEnd w:id="21"/>
    <w:bookmarkEnd w:id="22"/>
    <w:bookmarkStart w:id="48" w:name="results"/>
    <w:p>
      <w:pPr>
        <w:pStyle w:val="Heading2"/>
      </w:pPr>
      <w:r>
        <w:t xml:space="preserve">5. Results</w:t>
      </w:r>
    </w:p>
    <w:bookmarkStart w:id="26" w:name="X4564e91ad49e2e6b7162d04316b302dcf5747cf"/>
    <w:p>
      <w:pPr>
        <w:pStyle w:val="Heading3"/>
      </w:pPr>
      <w:r>
        <w:t xml:space="preserve">5.1 Sample, coverage and catastrophic expenditure</w:t>
      </w:r>
    </w:p>
    <w:p>
      <w:pPr>
        <w:pStyle w:val="FirstParagraph"/>
      </w:pPr>
      <w:r>
        <w:t xml:space="preserve">Mean household size is 5.2, mean annual consumption on the calibrated aggregate ₦1.99 million, and out-of-pocket health payments average 4.9% of consumption (Table 1). Informal-sector households are poorer (per-capita consumption ₦524,747 against ₦609,625, p = 0.008), more rural (34.3% against 60.1% urban) and more often female-headed (22.7% against 11.4%). Health insurance reaches 1.98% of households and 1.07% of individuals; coverage is 8.03% among formal-sector households against 0.57% among informal-sector households, and 0.20% of households paid a premium themselves (Table A2). The premise that the informal sector is the uncovered sector is observed, not assumed.</w:t>
      </w:r>
    </w:p>
    <w:p>
      <w:pPr>
        <w:pStyle w:val="BodyText"/>
      </w:pPr>
      <w:r>
        <w:t xml:space="preserve">Catastrophic expenditure affects 14.1% of the population at the 10% threshold (95% CI 12.5 to 15.8), 3.4% at 25% and 0.8% at 40%; 7.9% (6.7 to 9.1) exceed 40% of capacity to pay (Table 2, Figure 1). The household-weighted rate at the 10% threshold is 14.8%. On the uncalibrated aggregate the same figures are 16.7% and 11.3%; the calibration lowers both because it raises the denominator. Affected households do not cross the line narrowly: the mean overshoot is 10.2 points at the 10% threshold and 15.1 points on capacity to pay. Out-of-pocket payments raise the poverty headcount from 57.2% to 60.3%, an impoverishing effect of 3.1 points that is stable across poverty lines from half to one and a half times the national line while the headcount itself is not (Table A3).</w:t>
      </w:r>
    </w:p>
    <w:p>
      <w:pPr>
        <w:pStyle w:val="BodyText"/>
      </w:pPr>
      <w:r>
        <w:drawing>
          <wp:inline>
            <wp:extent cx="5334000" cy="3260300"/>
            <wp:effectExtent b="0" l="0" r="0" t="0"/>
            <wp:docPr descr="" title="" id="24" name="Picture"/>
            <a:graphic>
              <a:graphicData uri="http://schemas.openxmlformats.org/drawingml/2006/picture">
                <pic:pic>
                  <pic:nvPicPr>
                    <pic:cNvPr descr="../output/figures/figure1_che_by_quintile.png" id="25" name="Picture"/>
                    <pic:cNvPicPr>
                      <a:picLocks noChangeArrowheads="1" noChangeAspect="1"/>
                    </pic:cNvPicPr>
                  </pic:nvPicPr>
                  <pic:blipFill>
                    <a:blip r:embed="rId23"/>
                    <a:stretch>
                      <a:fillRect/>
                    </a:stretch>
                  </pic:blipFill>
                  <pic:spPr bwMode="auto">
                    <a:xfrm>
                      <a:off x="0" y="0"/>
                      <a:ext cx="5334000" cy="32603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bookmarkEnd w:id="26"/>
    <w:bookmarkStart w:id="30" w:name="X8716a0bafaf1d6803547eaae2d689c18dcb7219"/>
    <w:p>
      <w:pPr>
        <w:pStyle w:val="Heading3"/>
      </w:pPr>
      <w:r>
        <w:t xml:space="preserve">5.2 The two definitions disagree about who is affected</w:t>
      </w:r>
    </w:p>
    <w:p>
      <w:pPr>
        <w:pStyle w:val="FirstParagraph"/>
      </w:pPr>
      <w:r>
        <w:t xml:space="preserve">The concentration index for budget-share CHE at 10% is +0.040 (95% CI −0.018 to +0.098), not distinguishable from zero; for capacity-to-pay CHE it is −0.150 (−0.223 to −0.077), pro-poor (Table 3, Figure 2). The same pattern appears by sector: on the budget-share measure informal and formal households are equally affected (14.4% against 13.3%, p = 0.59), while on capacity to pay informal households are affected at 8.7% against 4.8% (p = 0.005). Most of that gap is composition. In a population-weighted linear probability model the informal coefficient on capacity-to-pay CHE falls from 3.8 points unadjusted to 3.1 points (p = 0.03) with quintile controls and to 2.4 points (p = 0.11) with quintile, zone, residence and household-size controls; on budget share it is 1.3 points (p = 0.49) with the same controls (Table 3). Informal households are more exposed because they are poorer and more rural, not detectably because of informality itself. The mechanism is arithmetic. Richer households consume more and buy more care, so the ratio to total consumption does not sort by hardship; net of subsistence, the same naira registers as a much larger shock for a poor household. A linear decomposition (Table A4) attributes most of the budget-share index to hospitalization and household size, but the index is too close to zero for shares to be meaningful, and for the capacity-to-pay index the residual dominates, so the decomposition is reported for completeness only.</w:t>
      </w:r>
    </w:p>
    <w:p>
      <w:pPr>
        <w:pStyle w:val="BodyText"/>
      </w:pPr>
      <w:r>
        <w:drawing>
          <wp:inline>
            <wp:extent cx="3822742" cy="4165260"/>
            <wp:effectExtent b="0" l="0" r="0" t="0"/>
            <wp:docPr descr="" title="" id="28" name="Picture"/>
            <a:graphic>
              <a:graphicData uri="http://schemas.openxmlformats.org/drawingml/2006/picture">
                <pic:pic>
                  <pic:nvPicPr>
                    <pic:cNvPr descr="../output/figures/figure2_concentration_curves.png" id="29" name="Picture"/>
                    <pic:cNvPicPr>
                      <a:picLocks noChangeArrowheads="1" noChangeAspect="1"/>
                    </pic:cNvPicPr>
                  </pic:nvPicPr>
                  <pic:blipFill>
                    <a:blip r:embed="rId27"/>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definitions. A curve above the diagonal indicates a burden concentrated among the poor.</w:t>
      </w:r>
    </w:p>
    <w:bookmarkEnd w:id="30"/>
    <w:bookmarkStart w:id="31" w:name="cost-models-1"/>
    <w:p>
      <w:pPr>
        <w:pStyle w:val="Heading3"/>
      </w:pPr>
      <w:r>
        <w:t xml:space="preserve">5.3 Cost models</w:t>
      </w:r>
    </w:p>
    <w:p>
      <w:pPr>
        <w:pStyle w:val="FirstParagraph"/>
      </w:pPr>
      <w:r>
        <w:t xml:space="preserve">Individuals average 2.75 outpatient contacts and 0.030 inpatient episodes a year, at mean costs of ₦6,977 per outpatient episode and ₦43,985 per inpatient episode, giving a mean annual cost of ₦19,675 with 78% of individuals recording no cost. The contact model is underdispersed (Pearson dispersion 0.78), as expected when a binary indicator is modeled as a count, so the negative binomial adds nothing. The lognormal fits episode cost better than the gamma (AIC 95,299 against 98,131). The profile likelihood selects a Tweedie variance power of p = 1.65 (Tables A6 and A7). Calibration by decile of prediction is close, with observed-to-predicted ratios between 0.81 and 1.13 and a top-decile mean of ₦83,195 against a bottom-decile mean of ₦3,104. Randomized quantile residuals have mean 0.07, standard deviation 1.00 and skew −0.11; the normality test rejects at n = 24,629, as it will for any parametric model. Risk relativities are large (Table A5): people aged 60 or over cost 3.31 times the community mean and those with a severe functional difficulty 6.44 times; cost rises from 0.26 of the mean in the poorest quintile to 2.57 in the richest, a demand effect that also means observed spending understates the health needs of the poor.</w:t>
      </w:r>
    </w:p>
    <w:bookmarkEnd w:id="31"/>
    <w:bookmarkStart w:id="35" w:name="the-premium-and-what-people-can-pay"/>
    <w:p>
      <w:pPr>
        <w:pStyle w:val="Heading3"/>
      </w:pPr>
      <w:r>
        <w:t xml:space="preserve">5.4 The premium and what people can pay</w:t>
      </w:r>
    </w:p>
    <w:p>
      <w:pPr>
        <w:pStyle w:val="FirstParagraph"/>
      </w:pPr>
      <w:r>
        <w:t xml:space="preserve">Observed cost of ₦19,675 per person-year falls to ₦16,487 once traditional care and services outside the package are removed; induced demand adds ₦6,808 and the drug co-payment returns ₦1,837, leaving a pure premium of ₦21,459 (Table 4, Figure 3). Loadings take a 20,000-life pool to a gross premium of ₦27,247 on the standard-deviation margin and ₦29,437 on the CVaR margin. The risk margin is ₦81 and falls to ₦36 at 100,000 lives; administration and the selection load, not claims volatility, separate the gross from the pure premium. The bootstrap interval for the gross premium is ₦24,270 to ₦30,388 (Table 8).</w:t>
      </w:r>
    </w:p>
    <w:p>
      <w:pPr>
        <w:pStyle w:val="BodyText"/>
      </w:pPr>
      <w:r>
        <w:drawing>
          <wp:inline>
            <wp:extent cx="5334000" cy="2636640"/>
            <wp:effectExtent b="0" l="0" r="0" t="0"/>
            <wp:docPr descr="" title="" id="33" name="Picture"/>
            <a:graphic>
              <a:graphicData uri="http://schemas.openxmlformats.org/drawingml/2006/picture">
                <pic:pic>
                  <pic:nvPicPr>
                    <pic:cNvPr descr="../output/figures/figure3_premium_waterfall.png" id="34" name="Picture"/>
                    <pic:cNvPicPr>
                      <a:picLocks noChangeArrowheads="1" noChangeAspect="1"/>
                    </pic:cNvPicPr>
                  </pic:nvPicPr>
                  <pic:blipFill>
                    <a:blip r:embed="rId32"/>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From observed spending to the gross premium for a 20,000-life pool. The horizontal line is the contribution ceiling for informal-sector members of the bottom three quintiles.</w:t>
      </w:r>
    </w:p>
    <w:p>
      <w:pPr>
        <w:pStyle w:val="BodyText"/>
      </w:pPr>
      <w:r>
        <w:t xml:space="preserve">Measured against per-capita consumption the gross premium is 22.8% in the poorest quintile, 13.4% in Q2, 9.7% in Q3, 6.6% in Q4 and 3.0% in Q5, above the 5% ceiling in four quintiles out of five (Table 4). Billed per household it is ₦222,993 a year for an average household in Q1, which has 8.2 members. The contribution ceiling for informal-sector members of the bottom three quintiles is ₦10,022 per person-year, 37% of the gross premium. The modeled premium is 1.8 times Lagos State’s individual Ilera Eko rate and half its family-of-four rate, a comparison that is a plausibility check rather than a like-for-like test because the packages differ and the published rates are nominal 2024 naira.</w:t>
      </w:r>
    </w:p>
    <w:bookmarkEnd w:id="35"/>
    <w:bookmarkStart w:id="42" w:name="solvency-take-up-and-financing-design"/>
    <w:p>
      <w:pPr>
        <w:pStyle w:val="Heading3"/>
      </w:pPr>
      <w:r>
        <w:t xml:space="preserve">5.5 Solvency, take-up and financing design</w:t>
      </w:r>
    </w:p>
    <w:p>
      <w:pPr>
        <w:pStyle w:val="FirstParagraph"/>
      </w:pPr>
      <w:r>
        <w:t xml:space="preserve">At the flat contribution of ₦10,022, a 20,000-life pool with no opening capital needs a subsidy of ₦15,339 per enrollee to hold its three-year ruin probability below 5% under random take-up, ₦16,019 for a 1% target, and ₦51,401 under strong adverse selection (Table 5, Figure 4). Most of the subsidy is expected value: the expected claim of ₦21,342 divided by (1 − e) less the contribution gives ₦13,691, so process risk adds about ₦1,600 at this scale. Moving from a 5% to a 1% ruin target costs ₦680 per enrollee; moving from 5,000 to 100,000 lives lowers the subsidy under random take-up by 16%; moving from random to strong adverse selection raises it by a factor of 3.4. Opening capital equal to a quarter of a year’s income at the gross premium lowers the random-take-up subsidy to ₦11,161, and a permanent 25% rise in claims from year 2 raises it to ₦18,723 (Table A8).</w:t>
      </w:r>
    </w:p>
    <w:p>
      <w:pPr>
        <w:pStyle w:val="BodyText"/>
      </w:pPr>
      <w:r>
        <w:drawing>
          <wp:inline>
            <wp:extent cx="5334000" cy="2387721"/>
            <wp:effectExtent b="0" l="0" r="0" t="0"/>
            <wp:docPr descr="" title="" id="37" name="Picture"/>
            <a:graphic>
              <a:graphicData uri="http://schemas.openxmlformats.org/drawingml/2006/picture">
                <pic:pic>
                  <pic:nvPicPr>
                    <pic:cNvPr descr="../output/figures/figure4_ruin_vs_subsidy.png" id="38" name="Picture"/>
                    <pic:cNvPicPr>
                      <a:picLocks noChangeArrowheads="1" noChangeAspect="1"/>
                    </pic:cNvPicPr>
                  </pic:nvPicPr>
                  <pic:blipFill>
                    <a:blip r:embed="rId36"/>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Probability of ruin over three years against subsidy per enrollee, by pool size and take-up pattern.</w:t>
      </w:r>
    </w:p>
    <w:p>
      <w:pPr>
        <w:pStyle w:val="BodyText"/>
      </w:pPr>
      <w:r>
        <w:t xml:space="preserve">The take-up grid shows why enrollment mechanism matters more than pool size (Table 5, Figure 5). With a strong tilt the selection loading on expected claims is 147% at 10% take-up, 60% at 50%, 24% at 75% and zero at 100%; the corresponding subsidy falls from ₦51,486 to ₦21,351 at 75% take-up and ₦15,358 at full take-up. The moderate tilt converges to the same path above 50% take-up, because at high take-up almost everyone is enrolled whatever their predicted cost. The adverse-selection scenarios in the upper panel of Table 5 are therefore low-take-up scenarios, and the mandate in the Act, if enforced through group enrollment, is worth more to solvency than any plausible increase in pool size.</w:t>
      </w:r>
    </w:p>
    <w:p>
      <w:pPr>
        <w:pStyle w:val="BodyText"/>
      </w:pPr>
      <w:r>
        <w:drawing>
          <wp:inline>
            <wp:extent cx="5334000" cy="2565311"/>
            <wp:effectExtent b="0" l="0" r="0" t="0"/>
            <wp:docPr descr="" title="" id="40" name="Picture"/>
            <a:graphic>
              <a:graphicData uri="http://schemas.openxmlformats.org/drawingml/2006/picture">
                <pic:pic>
                  <pic:nvPicPr>
                    <pic:cNvPr descr="../output/figures/figure5_take_up.png" id="41" name="Picture"/>
                    <pic:cNvPicPr>
                      <a:picLocks noChangeArrowheads="1" noChangeAspect="1"/>
                    </pic:cNvPicPr>
                  </pic:nvPicPr>
                  <pic:blipFill>
                    <a:blip r:embed="rId39"/>
                    <a:stretch>
                      <a:fillRect/>
                    </a:stretch>
                  </pic:blipFill>
                  <pic:spPr bwMode="auto">
                    <a:xfrm>
                      <a:off x="0" y="0"/>
                      <a:ext cx="5334000" cy="256531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Voluntary enrollment: selection loading on the expected claim, and the subsidy needed for a 20,000-life pool, against the take-up rate among informal-sector members.</w:t>
      </w:r>
    </w:p>
    <w:p>
      <w:pPr>
        <w:pStyle w:val="BodyText"/>
      </w:pPr>
      <w:r>
        <w:t xml:space="preserve">Contribution design changes the subsidy by more than reinsurance does (Table 6). A graded schedule in which each quintile pays its own 5% ceiling raises the mean contribution to ₦17,986 and lowers the subsidy under random take-up to ₦7,375; exempting the bottom two quintiles and grading the rest gives ₦14,529 and ₦10,831. Under strong selection the graded schedules collect more because the sick are disproportionately in the richer quintiles, and the subsidy falls from ₦51,401 to about ₦35,000 to ₦37,000. Per-life excess-of-loss reinsurance at a ₦250,000 retention cuts the standard deviation of pool claims per enrollee from ₦850 to ₦315, but the loaded reinsurance premium of ₦8,260 exceeds the process-risk saving and the required subsidy rises to ₦16,399; at higher retentions the effect is smaller in both directions. Reinsurance protects a pool against volatility, and volatility is not this pool’s problem.</w:t>
      </w:r>
    </w:p>
    <w:bookmarkEnd w:id="42"/>
    <w:bookmarkStart w:id="46" w:name="how-much-protection-coverage-buys"/>
    <w:p>
      <w:pPr>
        <w:pStyle w:val="Heading3"/>
      </w:pPr>
      <w:r>
        <w:t xml:space="preserve">5.6 How much protection coverage buys</w:t>
      </w:r>
    </w:p>
    <w:p>
      <w:pPr>
        <w:pStyle w:val="FirstParagraph"/>
      </w:pPr>
      <w:r>
        <w:t xml:space="preserve">Measured on out-of-pocket payments alone, full coverage of the informal sector cuts CHE at the 10% threshold from 14.1% to 4.2% and capacity-to-pay CHE from 7.9% to 1.5% (Table 7). Measured on what households actually pay, the same coverage financed by the flat contribution cuts CHE only to 11.5% (a reduction of 2.6 points, p &lt; 0.001), and capacity-to-pay CHE is unchanged at 8.4% (p = 0.47): the contribution removes from poor households roughly what the coverage gives them, every year rather than only in years of illness. By quintile, the flat contribution raises CHE in the poorest quintile from 11.9% to 31.0% while lowering it elsewhere (Figure 6, Tables A9 and A10). Fully subsidized coverage cuts CHE to 4.4% (a reduction of 9.7 points) and capacity-to-pay CHE to 1.7%. Exempting the bottom two quintiles and grading the rest reaches 7.6% and 2.5%, and subsidizing only the vulnerable group reaches 10.4% and 4.5%. On the out-of-pocket-only basis the contributory scheme scores marginally better than the fully subsidized one (4.2% against 4.4%) because the contribution enlarges the consumption denominator; that is a property of the SDG indicator, and it is why both bases are reported.</w:t>
      </w:r>
    </w:p>
    <w:p>
      <w:pPr>
        <w:pStyle w:val="BodyText"/>
      </w:pPr>
      <w:r>
        <w:drawing>
          <wp:inline>
            <wp:extent cx="5334000" cy="3096295"/>
            <wp:effectExtent b="0" l="0" r="0" t="0"/>
            <wp:docPr descr="" title="" id="44" name="Picture"/>
            <a:graphic>
              <a:graphicData uri="http://schemas.openxmlformats.org/drawingml/2006/picture">
                <pic:pic>
                  <pic:nvPicPr>
                    <pic:cNvPr descr="../output/figures/figure6_counterfactual.png" id="45" name="Picture"/>
                    <pic:cNvPicPr>
                      <a:picLocks noChangeArrowheads="1" noChangeAspect="1"/>
                    </pic:cNvPicPr>
                  </pic:nvPicPr>
                  <pic:blipFill>
                    <a:blip r:embed="rId43"/>
                    <a:stretch>
                      <a:fillRect/>
                    </a:stretch>
                  </pic:blipFill>
                  <pic:spPr bwMode="auto">
                    <a:xfrm>
                      <a:off x="0" y="0"/>
                      <a:ext cx="5334000" cy="309629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Catastrophic spending at the 10% threshold under coverage scenarios, by consumption quintile, on out-of-pocket payments plus the member contribution.</w:t>
      </w:r>
    </w:p>
    <w:bookmarkEnd w:id="46"/>
    <w:bookmarkStart w:id="47" w:name="bounds-intervals-and-robustness"/>
    <w:p>
      <w:pPr>
        <w:pStyle w:val="Heading3"/>
      </w:pPr>
      <w:r>
        <w:t xml:space="preserve">5.7 Bounds, intervals and robustness</w:t>
      </w:r>
    </w:p>
    <w:p>
      <w:pPr>
        <w:pStyle w:val="FirstParagraph"/>
      </w:pPr>
      <w:r>
        <w:t xml:space="preserve">The recall treatment is the largest single uncertainty (Table 8). With independent four-week windows in place of full persistence, CHE at the 10% threshold falls from 14.1% to 6.7% and capacity-to-pay CHE from 7.9% to 3.3%, because a household’s annual spending is then the sum of many small pieces rather than thirteen copies of one. The premium barely moves (₦27,612 against ₦27,247), since it is a mean, and the random-take-up subsidy falls by about ₦1,500 through lower process risk and a slightly lower expected claim. Multipliers of 12 and 10 lower CHE to 13.3% and 11.2% and the gross premium to ₦25,324 and ₦21,478. The truth lies between the persistence bounds; chronic conditions make some persistence certain.</w:t>
      </w:r>
    </w:p>
    <w:p>
      <w:pPr>
        <w:pStyle w:val="BodyText"/>
      </w:pPr>
      <w:r>
        <w:t xml:space="preserve">The bootstrap gives a standard error of 0.9 points on CHE at the 10% threshold, matching the linearized 0.8, and intervals of ₦24,270 to ₦30,388 for the gross premium, ₦12,050 to ₦18,948 for the random-take-up subsidy and ₦41,076 to ₦62,337 under strong selection. The 95% interval for the random-take-up subsidy is about a fifth as wide as the gap between random take-up and strong selection.</w:t>
      </w:r>
    </w:p>
    <w:p>
      <w:pPr>
        <w:pStyle w:val="BodyText"/>
      </w:pPr>
      <w:r>
        <w:t xml:space="preserve">Across the 26 rows of the robustness grid (Table A11), equivalence-scale exponents from 0.5 to 1.0 move capacity-to-pay CHE by under 0.2 points; alternative informality rules change the subsidy by under 5%; fixing the Tweedie power at 1.4, 1.5 or 1.7 changes nothing material; including transport raises CHE to 15.3% and the premium by 7%; trimming the top 1% of costs lowers the premium by 20% and the subsidy by 40%, which is why the tail is kept. Benefit-design parameters behave monotonically: the elasticity range −0.10 to −0.35 spans gross premiums of ₦22,874 to ₦35,858. Wave 4 on its published aggregate gives 14.1% at the 10% threshold and 6.7% on capacity to pay (Table A12), against 14.1% and 7.9% for wave 5 on the calibrated aggregate. The waves differ in season (the wave-4 health module was fielded after harvest) and in the annualizer, so the comparison supports no trend in either direction; the rise that the uncalibrated wave-5 figures suggest comes from the denominator.</w:t>
      </w:r>
    </w:p>
    <w:bookmarkEnd w:id="47"/>
    <w:bookmarkEnd w:id="48"/>
    <w:bookmarkStart w:id="49" w:name="discussion"/>
    <w:p>
      <w:pPr>
        <w:pStyle w:val="Heading2"/>
      </w:pPr>
      <w:r>
        <w:t xml:space="preserve">6. Discussion</w:t>
      </w:r>
    </w:p>
    <w:p>
      <w:pPr>
        <w:pStyle w:val="FirstParagraph"/>
      </w:pPr>
      <w:r>
        <w:rPr>
          <w:b/>
          <w:bCs/>
        </w:rPr>
        <w:t xml:space="preserve">What the numbers say to a state scheme.</w:t>
      </w:r>
      <w:r>
        <w:t xml:space="preserve"> </w:t>
      </w:r>
      <w:r>
        <w:t xml:space="preserve">The pure premium for the basic package is about ₦21,500 per person-year in 2023/24 prices and the gross premium about ₦27,200, with a sampling interval of roughly ₦24,000 to ₦30,000. The most the target population can contribute is about ₦10,000. The difference is the subsidy, ₦15,300 per enrollee under random take-up and up to ₦51,400 under strong selection, or ₦1.5 to ₦5.1 billion a year per 100,000 enrollees. Nine tenths of that subsidy is the expected-value gap between the price of the package and the contribution, which no pooling, reinsurance or capital arrangement can remove. The operative policy question is the size and reliability of the Vulnerable Group Fund, not the contribution rate.</w:t>
      </w:r>
    </w:p>
    <w:p>
      <w:pPr>
        <w:pStyle w:val="BodyText"/>
      </w:pPr>
      <w:r>
        <w:rPr>
          <w:b/>
          <w:bCs/>
        </w:rPr>
        <w:t xml:space="preserve">Design.</w:t>
      </w:r>
      <w:r>
        <w:t xml:space="preserve"> </w:t>
      </w:r>
      <w:r>
        <w:t xml:space="preserve">Three design results follow. First, selection dominates scale: enrolling whole groups (cooperatives, market associations, transport unions, which the Act’s recognition of Mutual Health Associations permits) at 75% take-up or better needs less than half the subsidy of individual voluntary enrollment at 10% take-up under a strong tilt. Second, a flat contribution undoes most of the protection it finances. Capacity-to-pay CHE does not fall when coverage is paid for by a uniform ₦10,022 contribution, and CHE in the poorest quintile rises from 12% to 31%. Contributions should be graded and the bottom two quintiles exempt; under random take-up that design lowers the subsidy by 29% relative to the flat schedule (a fully graded schedule lowers it by 52%) and delivers about two thirds of the reduction in CHE that full subsidy delivers. Third, reinsurance is the wrong instrument for this pool: its premium exceeds the volatility it removes.</w:t>
      </w:r>
    </w:p>
    <w:p>
      <w:pPr>
        <w:pStyle w:val="BodyText"/>
      </w:pPr>
      <w:r>
        <w:rPr>
          <w:b/>
          <w:bCs/>
        </w:rPr>
        <w:t xml:space="preserve">Measurement.</w:t>
      </w:r>
      <w:r>
        <w:t xml:space="preserve"> </w:t>
      </w:r>
      <w:r>
        <w:t xml:space="preserve">Our 14.1% at the 10% threshold sits with Aregbeshola and Khan’s 16.4% for 2009/10 and our own 14.1% for wave 4. The level depends heavily on how it is measured. Within our own pipeline the annualization moves CHE between 6.7% and 14.1%, the denominator moves it between 14.1% and 16.7%, and the choice of instrument moves it between 0.1% and 16.7%. The level of catastrophic expenditure in Nigeria is dominated by measurement choices, and any subsidy calculation built on a single level inherits that. What is stable across our specifications is the ordering: the capacity-to-pay measure is pro-poor, and the budget-share measure shows no significant gradient in our data. Monitoring should report both definitions rather than rely on either alone.</w:t>
      </w:r>
    </w:p>
    <w:p>
      <w:pPr>
        <w:pStyle w:val="BodyText"/>
      </w:pPr>
      <w:r>
        <w:rPr>
          <w:b/>
          <w:bCs/>
        </w:rPr>
        <w:t xml:space="preserve">Limitations.</w:t>
      </w:r>
      <w:r>
        <w:t xml:space="preserve"> </w:t>
      </w:r>
      <w:r>
        <w:t xml:space="preserve">The counterfactual holds total consumption fixed, applies one elasticity from a US experiment, and assumes the package is delivered as specified; Boes and Gerfin’s smaller elasticity would lower the premium, while their extensive-margin effect would raise it. The package parameters are assumptions until the NHIA publishes a tariff. Observed coverage (107 households) is too thin to identify the effect of coverage on spending, so coverage is assigned rather than estimated. The consumption aggregate is calibrated to wave 4 in the mean, so wave-5 levels, and the poverty headcount in particular, remain approximate. The selection scenarios are modeled tilts, not observed take-up. Households that forgo care appear as zero spenders, so every measure understates unmet need.</w:t>
      </w:r>
    </w:p>
    <w:bookmarkEnd w:id="49"/>
    <w:bookmarkStart w:id="50" w:name="conclusion"/>
    <w:p>
      <w:pPr>
        <w:pStyle w:val="Heading2"/>
      </w:pPr>
      <w:r>
        <w:t xml:space="preserve">7. Conclusion</w:t>
      </w:r>
    </w:p>
    <w:p>
      <w:pPr>
        <w:pStyle w:val="FirstParagraph"/>
      </w:pPr>
      <w:r>
        <w:t xml:space="preserve">Catastrophic health expenditure affects between 7% and 14% of Nigerians at the 10% budget-share threshold depending on how a four-week recall window is treated, and between 3% and 8% on capacity to pay; only the capacity-to-pay measure locates the burden among poor households, and the higher rate among informal-sector households reflects their lower consumption. The NHIA basic package costs about ₦21,500 per person-year before loadings and ₦27,200 after, against a contribution ceiling of ₦10,000 for the households the Act intends to protect. Closing the gap is public expenditure, not insurance sold to informal workers: about ₦15,000 per enrollee under group enrollment and three times that under individual voluntary enrollment. Grading contributions and exempting the poorest two quintiles halves the subsidy and preserves most of the protection; a flat contribution preserves little of it.</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the repository above; the README gives the script order and environment. The pipeline runs end to end from the raw survey files in about fifteen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15(4),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22.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Abuja. Gazetted copy available at nhia.gov.ng.</w:t>
      </w:r>
    </w:p>
    <w:p>
      <w:pPr>
        <w:pStyle w:val="Compact"/>
        <w:numPr>
          <w:ilvl w:val="0"/>
          <w:numId w:val="1001"/>
        </w:numPr>
      </w:pPr>
      <w:r>
        <w:t xml:space="preserve">Ipinnimo, T. M., Durowade, K. A., Afolayan, C. A., Ajayi, P. O., &amp; Akande, T. M.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Hoboken, NJ: Wiley.</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National Bureau of Statistics (2020).</w:t>
      </w:r>
      <w:r>
        <w:t xml:space="preserve"> </w:t>
      </w:r>
      <w:r>
        <w:rPr>
          <w:i/>
          <w:iCs/>
        </w:rPr>
        <w:t xml:space="preserve">2019 Poverty and Inequality in Nigeria: Executive Summary</w:t>
      </w:r>
      <w:r>
        <w:t xml:space="preserve">. Abuja: NBS.</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010329.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145. doi:10.1186/s12939-019-1044-9</w:t>
      </w:r>
    </w:p>
    <w:p>
      <w:pPr>
        <w:pStyle w:val="Compact"/>
        <w:numPr>
          <w:ilvl w:val="0"/>
          <w:numId w:val="1001"/>
        </w:numPr>
      </w:pPr>
      <w:r>
        <w:t xml:space="preserve">Shogunro, A., Olaniyan, S., Udobi-Owoloja, P. I., &amp; Babalola, D. (2023). An assessment of social insurance as a strategy for enhancing social protection effectiveness in Nigeria.</w:t>
      </w:r>
      <w:r>
        <w:t xml:space="preserve"> </w:t>
      </w:r>
      <w:r>
        <w:rPr>
          <w:i/>
          <w:iCs/>
        </w:rPr>
        <w:t xml:space="preserve">Global Journal of Accounting</w:t>
      </w:r>
      <w:r>
        <w:t xml:space="preserve">, 8(2), 1–15.</w:t>
      </w:r>
    </w:p>
    <w:p>
      <w:pPr>
        <w:pStyle w:val="Compact"/>
        <w:numPr>
          <w:ilvl w:val="0"/>
          <w:numId w:val="1001"/>
        </w:numPr>
      </w:pPr>
      <w:r>
        <w:t xml:space="preserve">Shrime, M. G., Dare, A. J., Alkire, B. C., O’Neill, K., &amp; Meara, J. G. (2015). Catastrophic expenditure to pay for surgery worldwide: a modelling study.</w:t>
      </w:r>
      <w:r>
        <w:t xml:space="preserve"> </w:t>
      </w:r>
      <w:r>
        <w:rPr>
          <w:i/>
          <w:iCs/>
        </w:rPr>
        <w:t xml:space="preserve">The Lancet Global Health</w:t>
      </w:r>
      <w:r>
        <w:t xml:space="preserve">, 3(Suppl 2),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1"/>
        </w:numPr>
      </w:pPr>
      <w:r>
        <w:t xml:space="preserve">Wagstaff, A., Flores, G., Hsu, J., Smitz, M.-F., Chepynoga, K., Buisman, L. R., van Wilgenburg, K., &amp; Eozenou, P.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and World Bank (2023).</w:t>
      </w:r>
      <w:r>
        <w:t xml:space="preserve"> </w:t>
      </w:r>
      <w:r>
        <w:rPr>
          <w:i/>
          <w:iCs/>
        </w:rPr>
        <w:t xml:space="preserve">Tracking Universal Health Coverage: 2023 Global Monitoring Report</w:t>
      </w:r>
      <w:r>
        <w:t xml:space="preserve">. Geneva: World Health Organization.</w:t>
      </w:r>
    </w:p>
    <w:p>
      <w:pPr>
        <w:pStyle w:val="Compact"/>
        <w:numPr>
          <w:ilvl w:val="0"/>
          <w:numId w:val="1001"/>
        </w:numPr>
      </w:pPr>
      <w:r>
        <w:t xml:space="preserve">WHO Global Health Expenditure Database. Out-of-pocket expenditure as a share of current health expenditure, Nigeria, 2023 (World Bank indicator SH.XPD.OOPC.CH.ZS). Accessed September 2026.</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bookmarkEnd w:id="52"/>
    <w:bookmarkEnd w:id="53"/>
    <w:bookmarkStart w:id="54" w:name="tables"/>
    <w:p>
      <w:pPr>
        <w:pStyle w:val="Heading1"/>
      </w:pPr>
      <w:r>
        <w:t xml:space="preserve">Tables</w:t>
      </w:r>
    </w:p>
    <w:p>
      <w:pPr>
        <w:pStyle w:val="FirstParagraph"/>
      </w:pPr>
      <w:r>
        <w:rPr>
          <w:i/>
          <w:iCs/>
        </w:rPr>
        <w:t xml:space="preserve">Generated from output/tables/</w:t>
      </w:r>
      <w:r>
        <w:t xml:space="preserve">.csv by python/make_tables.py. All estimates are survey-weighted with Taylor-linearized standard errors for a stratified single-stage cluster design. Naira are in constant August 2023 prices. Consumption is the calibrated aggregate unless a row says otherwise.*</w:t>
      </w:r>
    </w:p>
    <w:p>
      <w:pPr>
        <w:pStyle w:val="BodyText"/>
      </w:pPr>
      <w:r>
        <w:rPr>
          <w:b/>
          <w:bCs/>
        </w:rPr>
        <w:t xml:space="preserve">Table 1.</w:t>
      </w:r>
      <w:r>
        <w:t xml:space="preserve"> </w:t>
      </w:r>
      <w:r>
        <w:t xml:space="preserve">Sample characteristics, weighted by household weight.</w:t>
      </w:r>
    </w:p>
    <w:p>
      <w:pPr>
        <w:pStyle w:val="BodyText"/>
      </w:pPr>
      <w:r>
        <w:rPr>
          <w:i/>
          <w:iCs/>
        </w:rPr>
        <w:t xml:space="preserve">p is a design-based Wald test of the informal-formal difference.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1,991,166.15</w:t>
            </w:r>
          </w:p>
        </w:tc>
        <w:tc>
          <w:tcPr/>
          <w:p>
            <w:pPr>
              <w:pStyle w:val="Compact"/>
              <w:jc w:val="right"/>
            </w:pPr>
            <w:r>
              <w:t xml:space="preserve">44,759.72</w:t>
            </w:r>
          </w:p>
        </w:tc>
        <w:tc>
          <w:tcPr/>
          <w:p>
            <w:pPr>
              <w:pStyle w:val="Compact"/>
              <w:jc w:val="right"/>
            </w:pPr>
            <w:r>
              <w:t xml:space="preserve">1,846,388.41</w:t>
            </w:r>
          </w:p>
        </w:tc>
        <w:tc>
          <w:tcPr/>
          <w:p>
            <w:pPr>
              <w:pStyle w:val="Compact"/>
              <w:jc w:val="right"/>
            </w:pPr>
            <w:r>
              <w:t xml:space="preserve">2,615,920.99</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540,716.09</w:t>
            </w:r>
          </w:p>
        </w:tc>
        <w:tc>
          <w:tcPr/>
          <w:p>
            <w:pPr>
              <w:pStyle w:val="Compact"/>
              <w:jc w:val="right"/>
            </w:pPr>
            <w:r>
              <w:t xml:space="preserve">15,639.67</w:t>
            </w:r>
          </w:p>
        </w:tc>
        <w:tc>
          <w:tcPr/>
          <w:p>
            <w:pPr>
              <w:pStyle w:val="Compact"/>
              <w:jc w:val="right"/>
            </w:pPr>
            <w:r>
              <w:t xml:space="preserve">524,747.42</w:t>
            </w:r>
          </w:p>
        </w:tc>
        <w:tc>
          <w:tcPr/>
          <w:p>
            <w:pPr>
              <w:pStyle w:val="Compact"/>
              <w:jc w:val="right"/>
            </w:pPr>
            <w:r>
              <w:t xml:space="preserve">609,625.22</w:t>
            </w:r>
          </w:p>
        </w:tc>
        <w:tc>
          <w:tcPr/>
          <w:p>
            <w:pPr>
              <w:pStyle w:val="Compact"/>
              <w:jc w:val="right"/>
            </w:pPr>
            <w:r>
              <w:t xml:space="preserve">0.008</w:t>
            </w:r>
          </w:p>
        </w:tc>
      </w:tr>
      <w:tr>
        <w:tc>
          <w:tcPr/>
          <w:p>
            <w:pPr>
              <w:pStyle w:val="Compact"/>
            </w:pPr>
            <w:r>
              <w:t xml:space="preserve">Food share of consumption (%)</w:t>
            </w:r>
          </w:p>
        </w:tc>
        <w:tc>
          <w:tcPr/>
          <w:p>
            <w:pPr>
              <w:pStyle w:val="Compact"/>
              <w:jc w:val="right"/>
            </w:pPr>
            <w:r>
              <w:t xml:space="preserve">69.30</w:t>
            </w:r>
          </w:p>
        </w:tc>
        <w:tc>
          <w:tcPr/>
          <w:p>
            <w:pPr>
              <w:pStyle w:val="Compact"/>
              <w:jc w:val="right"/>
            </w:pPr>
            <w:r>
              <w:t xml:space="preserve">0.47</w:t>
            </w:r>
          </w:p>
        </w:tc>
        <w:tc>
          <w:tcPr/>
          <w:p>
            <w:pPr>
              <w:pStyle w:val="Compact"/>
              <w:jc w:val="right"/>
            </w:pPr>
            <w:r>
              <w:t xml:space="preserve">70.60</w:t>
            </w:r>
          </w:p>
        </w:tc>
        <w:tc>
          <w:tcPr/>
          <w:p>
            <w:pPr>
              <w:pStyle w:val="Compact"/>
              <w:jc w:val="right"/>
            </w:pPr>
            <w:r>
              <w:t xml:space="preserve">63.66</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4.86</w:t>
            </w:r>
          </w:p>
        </w:tc>
        <w:tc>
          <w:tcPr/>
          <w:p>
            <w:pPr>
              <w:pStyle w:val="Compact"/>
              <w:jc w:val="right"/>
            </w:pPr>
            <w:r>
              <w:t xml:space="preserve">0.19</w:t>
            </w:r>
          </w:p>
        </w:tc>
        <w:tc>
          <w:tcPr/>
          <w:p>
            <w:pPr>
              <w:pStyle w:val="Compact"/>
              <w:jc w:val="right"/>
            </w:pPr>
            <w:r>
              <w:t xml:space="preserve">5.00</w:t>
            </w:r>
          </w:p>
        </w:tc>
        <w:tc>
          <w:tcPr/>
          <w:p>
            <w:pPr>
              <w:pStyle w:val="Compact"/>
              <w:jc w:val="right"/>
            </w:pPr>
            <w:r>
              <w:t xml:space="preserve">4.23</w:t>
            </w:r>
          </w:p>
        </w:tc>
        <w:tc>
          <w:tcPr/>
          <w:p>
            <w:pPr>
              <w:pStyle w:val="Compact"/>
              <w:jc w:val="right"/>
            </w:pPr>
            <w:r>
              <w:t xml:space="preserve">0.050</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hospitalized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Any member holds health insurance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r>
        <w:tc>
          <w:tcPr/>
          <w:p>
            <w:pPr>
              <w:pStyle w:val="Compact"/>
            </w:pPr>
            <w:r>
              <w:t xml:space="preserve">Paid a health-insurance premium in past 12 months (%)</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0.94</w:t>
            </w:r>
          </w:p>
        </w:tc>
        <w:tc>
          <w:tcPr/>
          <w:p>
            <w:pPr>
              <w:pStyle w:val="Compact"/>
              <w:jc w:val="right"/>
            </w:pPr>
            <w:r>
              <w:t xml:space="preserve">0.064</w:t>
            </w:r>
          </w:p>
        </w:tc>
      </w:tr>
    </w:tbl>
    <w:p>
      <w:pPr>
        <w:pStyle w:val="BodyText"/>
      </w:pPr>
      <w:r>
        <w:rPr>
          <w:b/>
          <w:bCs/>
        </w:rPr>
        <w:t xml:space="preserve">Table 2.</w:t>
      </w:r>
      <w:r>
        <w:t xml:space="preserve"> </w:t>
      </w:r>
      <w:r>
        <w:t xml:space="preserve">Catastrophic health expenditure: incidence and intensity.</w:t>
      </w:r>
    </w:p>
    <w:p>
      <w:pPr>
        <w:pStyle w:val="BodyText"/>
      </w:pPr>
      <w:r>
        <w:rPr>
          <w:i/>
          <w:iCs/>
        </w:rPr>
        <w:t xml:space="preserve">Population-weighted rates are the share of people living in an affected household; the household-weighted row is the share of households. Uncalibrated rows use the rebuilt consumption aggregate without the wave-4 calibration. Zone and residence breakdowns are in Table A2.</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14.1</w:t>
            </w:r>
          </w:p>
        </w:tc>
        <w:tc>
          <w:tcPr/>
          <w:p>
            <w:pPr>
              <w:pStyle w:val="Compact"/>
              <w:jc w:val="right"/>
            </w:pPr>
            <w:r>
              <w:t xml:space="preserve">12.5</w:t>
            </w:r>
          </w:p>
        </w:tc>
        <w:tc>
          <w:tcPr/>
          <w:p>
            <w:pPr>
              <w:pStyle w:val="Compact"/>
              <w:jc w:val="right"/>
            </w:pPr>
            <w:r>
              <w:t xml:space="preserve">15.8</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14.8</w:t>
            </w:r>
          </w:p>
        </w:tc>
        <w:tc>
          <w:tcPr/>
          <w:p>
            <w:pPr>
              <w:pStyle w:val="Compact"/>
              <w:jc w:val="right"/>
            </w:pPr>
            <w:r>
              <w:t xml:space="preserve">13.4</w:t>
            </w:r>
          </w:p>
        </w:tc>
        <w:tc>
          <w:tcPr/>
          <w:p>
            <w:pPr>
              <w:pStyle w:val="Compact"/>
              <w:jc w:val="right"/>
            </w:pPr>
            <w:r>
              <w:t xml:space="preserve">16.3</w:t>
            </w:r>
          </w:p>
        </w:tc>
        <w:tc>
          <w:tcPr/>
          <w:p>
            <w:pPr>
              <w:pStyle w:val="Compact"/>
              <w:jc w:val="right"/>
            </w:pPr>
            <w:r>
              <w:t xml:space="preserve">11.0</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16.7</w:t>
            </w:r>
          </w:p>
        </w:tc>
        <w:tc>
          <w:tcPr/>
          <w:p>
            <w:pPr>
              <w:pStyle w:val="Compact"/>
              <w:jc w:val="right"/>
            </w:pPr>
            <w:r>
              <w:t xml:space="preserve">14.9</w:t>
            </w:r>
          </w:p>
        </w:tc>
        <w:tc>
          <w:tcPr/>
          <w:p>
            <w:pPr>
              <w:pStyle w:val="Compact"/>
              <w:jc w:val="right"/>
            </w:pPr>
            <w:r>
              <w:t xml:space="preserve">18.4</w:t>
            </w:r>
          </w:p>
        </w:tc>
        <w:tc>
          <w:tcPr/>
          <w:p>
            <w:pPr>
              <w:pStyle w:val="Compact"/>
            </w:pP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13.3</w:t>
            </w:r>
          </w:p>
        </w:tc>
        <w:tc>
          <w:tcPr/>
          <w:p>
            <w:pPr>
              <w:pStyle w:val="Compact"/>
              <w:jc w:val="right"/>
            </w:pPr>
            <w:r>
              <w:t xml:space="preserve">9.9</w:t>
            </w:r>
          </w:p>
        </w:tc>
        <w:tc>
          <w:tcPr/>
          <w:p>
            <w:pPr>
              <w:pStyle w:val="Compact"/>
              <w:jc w:val="right"/>
            </w:pPr>
            <w:r>
              <w:t xml:space="preserve">16.7</w:t>
            </w:r>
          </w:p>
        </w:tc>
        <w:tc>
          <w:tcPr/>
          <w:p>
            <w:pPr>
              <w:pStyle w:val="Compact"/>
              <w:jc w:val="right"/>
            </w:pPr>
            <w:r>
              <w:t xml:space="preserve">9.1</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14.4</w:t>
            </w:r>
          </w:p>
        </w:tc>
        <w:tc>
          <w:tcPr/>
          <w:p>
            <w:pPr>
              <w:pStyle w:val="Compact"/>
              <w:jc w:val="right"/>
            </w:pPr>
            <w:r>
              <w:t xml:space="preserve">12.6</w:t>
            </w:r>
          </w:p>
        </w:tc>
        <w:tc>
          <w:tcPr/>
          <w:p>
            <w:pPr>
              <w:pStyle w:val="Compact"/>
              <w:jc w:val="right"/>
            </w:pPr>
            <w:r>
              <w:t xml:space="preserve">16.1</w:t>
            </w:r>
          </w:p>
        </w:tc>
        <w:tc>
          <w:tcPr/>
          <w:p>
            <w:pPr>
              <w:pStyle w:val="Compact"/>
              <w:jc w:val="right"/>
            </w:pPr>
            <w:r>
              <w:t xml:space="preserve">10.5</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11.9</w:t>
            </w:r>
          </w:p>
        </w:tc>
        <w:tc>
          <w:tcPr/>
          <w:p>
            <w:pPr>
              <w:pStyle w:val="Compact"/>
              <w:jc w:val="right"/>
            </w:pPr>
            <w:r>
              <w:t xml:space="preserve">8.6</w:t>
            </w:r>
          </w:p>
        </w:tc>
        <w:tc>
          <w:tcPr/>
          <w:p>
            <w:pPr>
              <w:pStyle w:val="Compact"/>
              <w:jc w:val="right"/>
            </w:pPr>
            <w:r>
              <w:t xml:space="preserve">15.2</w:t>
            </w:r>
          </w:p>
        </w:tc>
        <w:tc>
          <w:tcPr/>
          <w:p>
            <w:pPr>
              <w:pStyle w:val="Compact"/>
              <w:jc w:val="right"/>
            </w:pPr>
            <w:r>
              <w:t xml:space="preserve">11.9</w:t>
            </w:r>
          </w:p>
        </w:tc>
        <w:tc>
          <w:tcPr/>
          <w:p>
            <w:pPr>
              <w:pStyle w:val="Compact"/>
              <w:jc w:val="right"/>
            </w:pPr>
            <w:r>
              <w:t xml:space="preserve">701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10.3</w:t>
            </w:r>
          </w:p>
        </w:tc>
        <w:tc>
          <w:tcPr/>
          <w:p>
            <w:pPr>
              <w:pStyle w:val="Compact"/>
              <w:jc w:val="right"/>
            </w:pPr>
            <w:r>
              <w:t xml:space="preserve">18.5</w:t>
            </w:r>
          </w:p>
        </w:tc>
        <w:tc>
          <w:tcPr/>
          <w:p>
            <w:pPr>
              <w:pStyle w:val="Compact"/>
              <w:jc w:val="right"/>
            </w:pPr>
            <w:r>
              <w:t xml:space="preserve">9.2</w:t>
            </w:r>
          </w:p>
        </w:tc>
        <w:tc>
          <w:tcPr/>
          <w:p>
            <w:pPr>
              <w:pStyle w:val="Compact"/>
              <w:jc w:val="right"/>
            </w:pPr>
            <w:r>
              <w:t xml:space="preserve">699</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c>
          <w:tcPr/>
          <w:p>
            <w:pPr>
              <w:pStyle w:val="Compact"/>
              <w:jc w:val="right"/>
            </w:pPr>
            <w:r>
              <w:t xml:space="preserve">7.1</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c>
          <w:tcPr/>
          <w:p>
            <w:pPr>
              <w:pStyle w:val="Compact"/>
              <w:jc w:val="right"/>
            </w:pPr>
            <w:r>
              <w:t xml:space="preserve">10.5</w:t>
            </w:r>
          </w:p>
        </w:tc>
        <w:tc>
          <w:tcPr/>
          <w:p>
            <w:pPr>
              <w:pStyle w:val="Compact"/>
              <w:jc w:val="right"/>
            </w:pPr>
            <w:r>
              <w:t xml:space="preserve">1,041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c>
          <w:tcPr/>
          <w:p>
            <w:pPr>
              <w:pStyle w:val="Compact"/>
              <w:jc w:val="right"/>
            </w:pPr>
            <w:r>
              <w:t xml:space="preserve">12.4</w:t>
            </w:r>
          </w:p>
        </w:tc>
        <w:tc>
          <w:tcPr/>
          <w:p>
            <w:pPr>
              <w:pStyle w:val="Compact"/>
              <w:jc w:val="right"/>
            </w:pPr>
            <w:r>
              <w:t xml:space="preserve">1,436</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3.4</w:t>
            </w:r>
          </w:p>
        </w:tc>
        <w:tc>
          <w:tcPr/>
          <w:p>
            <w:pPr>
              <w:pStyle w:val="Compact"/>
              <w:jc w:val="right"/>
            </w:pPr>
            <w:r>
              <w:t xml:space="preserve">2.5</w:t>
            </w:r>
          </w:p>
        </w:tc>
        <w:tc>
          <w:tcPr/>
          <w:p>
            <w:pPr>
              <w:pStyle w:val="Compact"/>
              <w:jc w:val="right"/>
            </w:pPr>
            <w:r>
              <w:t xml:space="preserve">4.2</w:t>
            </w:r>
          </w:p>
        </w:tc>
        <w:tc>
          <w:tcPr/>
          <w:p>
            <w:pPr>
              <w:pStyle w:val="Compact"/>
              <w:jc w:val="right"/>
            </w:pPr>
            <w:r>
              <w:t xml:space="preserve">10.4</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3.7</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12.5</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4.6</w:t>
            </w:r>
          </w:p>
        </w:tc>
        <w:tc>
          <w:tcPr/>
          <w:p>
            <w:pPr>
              <w:pStyle w:val="Compact"/>
              <w:jc w:val="right"/>
            </w:pPr>
            <w:r>
              <w:t xml:space="preserve">3.6</w:t>
            </w:r>
          </w:p>
        </w:tc>
        <w:tc>
          <w:tcPr/>
          <w:p>
            <w:pPr>
              <w:pStyle w:val="Compact"/>
              <w:jc w:val="right"/>
            </w:pPr>
            <w:r>
              <w:t xml:space="preserve">5.7</w:t>
            </w:r>
          </w:p>
        </w:tc>
        <w:tc>
          <w:tcPr/>
          <w:p>
            <w:pPr>
              <w:pStyle w:val="Compact"/>
            </w:pP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2.5</w:t>
            </w:r>
          </w:p>
        </w:tc>
        <w:tc>
          <w:tcPr/>
          <w:p>
            <w:pPr>
              <w:pStyle w:val="Compact"/>
              <w:jc w:val="right"/>
            </w:pPr>
            <w:r>
              <w:t xml:space="preserve">0.7</w:t>
            </w:r>
          </w:p>
        </w:tc>
        <w:tc>
          <w:tcPr/>
          <w:p>
            <w:pPr>
              <w:pStyle w:val="Compact"/>
              <w:jc w:val="right"/>
            </w:pPr>
            <w:r>
              <w:t xml:space="preserve">4.3</w:t>
            </w:r>
          </w:p>
        </w:tc>
        <w:tc>
          <w:tcPr/>
          <w:p>
            <w:pPr>
              <w:pStyle w:val="Compact"/>
              <w:jc w:val="right"/>
            </w:pPr>
            <w:r>
              <w:t xml:space="preserve">7.8</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3.6</w:t>
            </w:r>
          </w:p>
        </w:tc>
        <w:tc>
          <w:tcPr/>
          <w:p>
            <w:pPr>
              <w:pStyle w:val="Compact"/>
              <w:jc w:val="right"/>
            </w:pPr>
            <w:r>
              <w:t xml:space="preserve">2.6</w:t>
            </w:r>
          </w:p>
        </w:tc>
        <w:tc>
          <w:tcPr/>
          <w:p>
            <w:pPr>
              <w:pStyle w:val="Compact"/>
              <w:jc w:val="right"/>
            </w:pPr>
            <w:r>
              <w:t xml:space="preserve">4.5</w:t>
            </w:r>
          </w:p>
        </w:tc>
        <w:tc>
          <w:tcPr/>
          <w:p>
            <w:pPr>
              <w:pStyle w:val="Compact"/>
              <w:jc w:val="right"/>
            </w:pPr>
            <w:r>
              <w:t xml:space="preserve">10.8</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5.7</w:t>
            </w:r>
          </w:p>
        </w:tc>
        <w:tc>
          <w:tcPr/>
          <w:p>
            <w:pPr>
              <w:pStyle w:val="Compact"/>
              <w:jc w:val="right"/>
            </w:pPr>
            <w:r>
              <w:t xml:space="preserve">10.4</w:t>
            </w:r>
          </w:p>
        </w:tc>
        <w:tc>
          <w:tcPr/>
          <w:p>
            <w:pPr>
              <w:pStyle w:val="Compact"/>
              <w:jc w:val="right"/>
            </w:pPr>
            <w:r>
              <w:t xml:space="preserve">701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2.7</w:t>
            </w:r>
          </w:p>
        </w:tc>
        <w:tc>
          <w:tcPr/>
          <w:p>
            <w:pPr>
              <w:pStyle w:val="Compact"/>
              <w:jc w:val="right"/>
            </w:pPr>
            <w:r>
              <w:t xml:space="preserve">0.8</w:t>
            </w:r>
          </w:p>
        </w:tc>
        <w:tc>
          <w:tcPr/>
          <w:p>
            <w:pPr>
              <w:pStyle w:val="Compact"/>
              <w:jc w:val="right"/>
            </w:pPr>
            <w:r>
              <w:t xml:space="preserve">4.6</w:t>
            </w:r>
          </w:p>
        </w:tc>
        <w:tc>
          <w:tcPr/>
          <w:p>
            <w:pPr>
              <w:pStyle w:val="Compact"/>
              <w:jc w:val="right"/>
            </w:pPr>
            <w:r>
              <w:t xml:space="preserve">10.9</w:t>
            </w:r>
          </w:p>
        </w:tc>
        <w:tc>
          <w:tcPr/>
          <w:p>
            <w:pPr>
              <w:pStyle w:val="Compact"/>
              <w:jc w:val="right"/>
            </w:pPr>
            <w:r>
              <w:t xml:space="preserve">699</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1.9</w:t>
            </w:r>
          </w:p>
        </w:tc>
        <w:tc>
          <w:tcPr/>
          <w:p>
            <w:pPr>
              <w:pStyle w:val="Compact"/>
              <w:jc w:val="right"/>
            </w:pPr>
            <w:r>
              <w:t xml:space="preserve">0.7</w:t>
            </w:r>
          </w:p>
        </w:tc>
        <w:tc>
          <w:tcPr/>
          <w:p>
            <w:pPr>
              <w:pStyle w:val="Compact"/>
              <w:jc w:val="right"/>
            </w:pPr>
            <w:r>
              <w:t xml:space="preserve">3.0</w:t>
            </w:r>
          </w:p>
        </w:tc>
        <w:tc>
          <w:tcPr/>
          <w:p>
            <w:pPr>
              <w:pStyle w:val="Compact"/>
              <w:jc w:val="right"/>
            </w:pPr>
            <w:r>
              <w:t xml:space="preserve">4.3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4.1</w:t>
            </w:r>
          </w:p>
        </w:tc>
        <w:tc>
          <w:tcPr/>
          <w:p>
            <w:pPr>
              <w:pStyle w:val="Compact"/>
              <w:jc w:val="right"/>
            </w:pPr>
            <w:r>
              <w:t xml:space="preserve">1.8</w:t>
            </w:r>
          </w:p>
        </w:tc>
        <w:tc>
          <w:tcPr/>
          <w:p>
            <w:pPr>
              <w:pStyle w:val="Compact"/>
              <w:jc w:val="right"/>
            </w:pPr>
            <w:r>
              <w:t xml:space="preserve">6.3</w:t>
            </w:r>
          </w:p>
        </w:tc>
        <w:tc>
          <w:tcPr/>
          <w:p>
            <w:pPr>
              <w:pStyle w:val="Compact"/>
              <w:jc w:val="right"/>
            </w:pPr>
            <w:r>
              <w:t xml:space="preserve">8.0</w:t>
            </w:r>
          </w:p>
        </w:tc>
        <w:tc>
          <w:tcPr/>
          <w:p>
            <w:pPr>
              <w:pStyle w:val="Compact"/>
              <w:jc w:val="right"/>
            </w:pPr>
            <w:r>
              <w:t xml:space="preserve">1,041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2.7</w:t>
            </w:r>
          </w:p>
        </w:tc>
        <w:tc>
          <w:tcPr/>
          <w:p>
            <w:pPr>
              <w:pStyle w:val="Compact"/>
              <w:jc w:val="right"/>
            </w:pPr>
            <w:r>
              <w:t xml:space="preserve">6.0</w:t>
            </w:r>
          </w:p>
        </w:tc>
        <w:tc>
          <w:tcPr/>
          <w:p>
            <w:pPr>
              <w:pStyle w:val="Compact"/>
              <w:jc w:val="right"/>
            </w:pPr>
            <w:r>
              <w:t xml:space="preserve">14.8</w:t>
            </w:r>
          </w:p>
        </w:tc>
        <w:tc>
          <w:tcPr/>
          <w:p>
            <w:pPr>
              <w:pStyle w:val="Compact"/>
              <w:jc w:val="right"/>
            </w:pPr>
            <w:r>
              <w:t xml:space="preserve">1,436</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0.8</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11.9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c>
          <w:tcPr/>
          <w:p>
            <w:pPr>
              <w:pStyle w:val="Compact"/>
              <w:jc w:val="right"/>
            </w:pPr>
            <w:r>
              <w:t xml:space="preserve">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0.9</w:t>
            </w:r>
          </w:p>
        </w:tc>
        <w:tc>
          <w:tcPr/>
          <w:p>
            <w:pPr>
              <w:pStyle w:val="Compact"/>
              <w:jc w:val="right"/>
            </w:pPr>
            <w:r>
              <w:t xml:space="preserve">0.6</w:t>
            </w:r>
          </w:p>
        </w:tc>
        <w:tc>
          <w:tcPr/>
          <w:p>
            <w:pPr>
              <w:pStyle w:val="Compact"/>
              <w:jc w:val="right"/>
            </w:pPr>
            <w:r>
              <w:t xml:space="preserve">1.3</w:t>
            </w:r>
          </w:p>
        </w:tc>
        <w:tc>
          <w:tcPr/>
          <w:p>
            <w:pPr>
              <w:pStyle w:val="Compact"/>
              <w:jc w:val="right"/>
            </w:pPr>
            <w:r>
              <w:t xml:space="preserve">10.6</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1.0</w:t>
            </w:r>
          </w:p>
        </w:tc>
        <w:tc>
          <w:tcPr/>
          <w:p>
            <w:pPr>
              <w:pStyle w:val="Compact"/>
              <w:jc w:val="right"/>
            </w:pPr>
            <w:r>
              <w:t xml:space="preserve">0.2</w:t>
            </w:r>
          </w:p>
        </w:tc>
        <w:tc>
          <w:tcPr/>
          <w:p>
            <w:pPr>
              <w:pStyle w:val="Compact"/>
              <w:jc w:val="right"/>
            </w:pPr>
            <w:r>
              <w:t xml:space="preserve">1.9</w:t>
            </w:r>
          </w:p>
        </w:tc>
        <w:tc>
          <w:tcPr/>
          <w:p>
            <w:pPr>
              <w:pStyle w:val="Compact"/>
              <w:jc w:val="right"/>
            </w:pPr>
            <w:r>
              <w:t xml:space="preserve">5.8</w:t>
            </w:r>
          </w:p>
        </w:tc>
        <w:tc>
          <w:tcPr/>
          <w:p>
            <w:pPr>
              <w:pStyle w:val="Compact"/>
              <w:jc w:val="right"/>
            </w:pPr>
            <w:r>
              <w:t xml:space="preserve">701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1.8</w:t>
            </w:r>
          </w:p>
        </w:tc>
        <w:tc>
          <w:tcPr/>
          <w:p>
            <w:pPr>
              <w:pStyle w:val="Compact"/>
              <w:jc w:val="right"/>
            </w:pPr>
            <w:r>
              <w:t xml:space="preserve">8.9</w:t>
            </w:r>
          </w:p>
        </w:tc>
        <w:tc>
          <w:tcPr/>
          <w:p>
            <w:pPr>
              <w:pStyle w:val="Compact"/>
              <w:jc w:val="right"/>
            </w:pPr>
            <w:r>
              <w:t xml:space="preserve">699</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2.6</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1.0</w:t>
            </w:r>
          </w:p>
        </w:tc>
        <w:tc>
          <w:tcPr/>
          <w:p>
            <w:pPr>
              <w:pStyle w:val="Compact"/>
              <w:jc w:val="right"/>
            </w:pPr>
            <w:r>
              <w:t xml:space="preserve">8.3</w:t>
            </w:r>
          </w:p>
        </w:tc>
        <w:tc>
          <w:tcPr/>
          <w:p>
            <w:pPr>
              <w:pStyle w:val="Compact"/>
              <w:jc w:val="right"/>
            </w:pPr>
            <w:r>
              <w:t xml:space="preserve">1,041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14.4</w:t>
            </w:r>
          </w:p>
        </w:tc>
        <w:tc>
          <w:tcPr/>
          <w:p>
            <w:pPr>
              <w:pStyle w:val="Compact"/>
              <w:jc w:val="right"/>
            </w:pPr>
            <w:r>
              <w:t xml:space="preserve">1,436</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7.9</w:t>
            </w:r>
          </w:p>
        </w:tc>
        <w:tc>
          <w:tcPr/>
          <w:p>
            <w:pPr>
              <w:pStyle w:val="Compact"/>
              <w:jc w:val="right"/>
            </w:pPr>
            <w:r>
              <w:t xml:space="preserve">6.7</w:t>
            </w:r>
          </w:p>
        </w:tc>
        <w:tc>
          <w:tcPr/>
          <w:p>
            <w:pPr>
              <w:pStyle w:val="Compact"/>
              <w:jc w:val="right"/>
            </w:pPr>
            <w:r>
              <w:t xml:space="preserve">9.1</w:t>
            </w:r>
          </w:p>
        </w:tc>
        <w:tc>
          <w:tcPr/>
          <w:p>
            <w:pPr>
              <w:pStyle w:val="Compact"/>
              <w:jc w:val="right"/>
            </w:pPr>
            <w:r>
              <w:t xml:space="preserve">15.1</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7.8</w:t>
            </w:r>
          </w:p>
        </w:tc>
        <w:tc>
          <w:tcPr/>
          <w:p>
            <w:pPr>
              <w:pStyle w:val="Compact"/>
              <w:jc w:val="right"/>
            </w:pPr>
            <w:r>
              <w:t xml:space="preserve">6.8</w:t>
            </w:r>
          </w:p>
        </w:tc>
        <w:tc>
          <w:tcPr/>
          <w:p>
            <w:pPr>
              <w:pStyle w:val="Compact"/>
              <w:jc w:val="right"/>
            </w:pPr>
            <w:r>
              <w:t xml:space="preserve">8.8</w:t>
            </w:r>
          </w:p>
        </w:tc>
        <w:tc>
          <w:tcPr/>
          <w:p>
            <w:pPr>
              <w:pStyle w:val="Compact"/>
              <w:jc w:val="right"/>
            </w:pPr>
            <w:r>
              <w:t xml:space="preserve">16.3</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9.8</w:t>
            </w:r>
          </w:p>
        </w:tc>
        <w:tc>
          <w:tcPr/>
          <w:p>
            <w:pPr>
              <w:pStyle w:val="Compact"/>
              <w:jc w:val="right"/>
            </w:pPr>
            <w:r>
              <w:t xml:space="preserve">12.8</w:t>
            </w:r>
          </w:p>
        </w:tc>
        <w:tc>
          <w:tcPr/>
          <w:p>
            <w:pPr>
              <w:pStyle w:val="Compact"/>
            </w:pP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7.1</w:t>
            </w:r>
          </w:p>
        </w:tc>
        <w:tc>
          <w:tcPr/>
          <w:p>
            <w:pPr>
              <w:pStyle w:val="Compact"/>
              <w:jc w:val="right"/>
            </w:pPr>
            <w:r>
              <w:t xml:space="preserve">13.2</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8.7</w:t>
            </w:r>
          </w:p>
        </w:tc>
        <w:tc>
          <w:tcPr/>
          <w:p>
            <w:pPr>
              <w:pStyle w:val="Compact"/>
              <w:jc w:val="right"/>
            </w:pPr>
            <w:r>
              <w:t xml:space="preserve">7.2</w:t>
            </w:r>
          </w:p>
        </w:tc>
        <w:tc>
          <w:tcPr/>
          <w:p>
            <w:pPr>
              <w:pStyle w:val="Compact"/>
              <w:jc w:val="right"/>
            </w:pPr>
            <w:r>
              <w:t xml:space="preserve">10.1</w:t>
            </w:r>
          </w:p>
        </w:tc>
        <w:tc>
          <w:tcPr/>
          <w:p>
            <w:pPr>
              <w:pStyle w:val="Compact"/>
              <w:jc w:val="right"/>
            </w:pPr>
            <w:r>
              <w:t xml:space="preserve">15.3</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12.6</w:t>
            </w:r>
          </w:p>
        </w:tc>
        <w:tc>
          <w:tcPr/>
          <w:p>
            <w:pPr>
              <w:pStyle w:val="Compact"/>
              <w:jc w:val="right"/>
            </w:pPr>
            <w:r>
              <w:t xml:space="preserve">15.6</w:t>
            </w:r>
          </w:p>
        </w:tc>
        <w:tc>
          <w:tcPr/>
          <w:p>
            <w:pPr>
              <w:pStyle w:val="Compact"/>
              <w:jc w:val="right"/>
            </w:pPr>
            <w:r>
              <w:t xml:space="preserve">701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11.2</w:t>
            </w:r>
          </w:p>
        </w:tc>
        <w:tc>
          <w:tcPr/>
          <w:p>
            <w:pPr>
              <w:pStyle w:val="Compact"/>
              <w:jc w:val="right"/>
            </w:pPr>
            <w:r>
              <w:t xml:space="preserve">7.4</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699</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c>
          <w:tcPr/>
          <w:p>
            <w:pPr>
              <w:pStyle w:val="Compact"/>
              <w:jc w:val="right"/>
            </w:pPr>
            <w:r>
              <w:t xml:space="preserve">12.5</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c>
          <w:tcPr/>
          <w:p>
            <w:pPr>
              <w:pStyle w:val="Compact"/>
              <w:jc w:val="right"/>
            </w:pPr>
            <w:r>
              <w:t xml:space="preserve">13.7</w:t>
            </w:r>
          </w:p>
        </w:tc>
        <w:tc>
          <w:tcPr/>
          <w:p>
            <w:pPr>
              <w:pStyle w:val="Compact"/>
              <w:jc w:val="right"/>
            </w:pPr>
            <w:r>
              <w:t xml:space="preserve">1,041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c>
          <w:tcPr/>
          <w:p>
            <w:pPr>
              <w:pStyle w:val="Compact"/>
              <w:jc w:val="right"/>
            </w:pPr>
            <w:r>
              <w:t xml:space="preserve">20.1</w:t>
            </w:r>
          </w:p>
        </w:tc>
        <w:tc>
          <w:tcPr/>
          <w:p>
            <w:pPr>
              <w:pStyle w:val="Compact"/>
              <w:jc w:val="right"/>
            </w:pPr>
            <w:r>
              <w:t xml:space="preserve">1,436</w:t>
            </w:r>
          </w:p>
        </w:tc>
      </w:tr>
    </w:tbl>
    <w:p>
      <w:pPr>
        <w:pStyle w:val="BodyText"/>
      </w:pPr>
      <w:r>
        <w:rPr>
          <w:b/>
          <w:bCs/>
        </w:rPr>
        <w:t xml:space="preserve">Table 3.</w:t>
      </w:r>
      <w:r>
        <w:t xml:space="preserve"> </w:t>
      </w:r>
      <w:r>
        <w:t xml:space="preserve">Concentration indices and the informal-formal gap.</w:t>
      </w:r>
    </w:p>
    <w:p>
      <w:pPr>
        <w:pStyle w:val="BodyText"/>
      </w:pPr>
      <w:r>
        <w:rPr>
          <w:i/>
          <w:iCs/>
        </w:rPr>
        <w:t xml:space="preserve">Indices are ranked on per-capita consumption; a negative value means the outcome is concentrated among the poor. Erreygers is the bounded correction for binary outcomes. The sector gap is tested with a design-based Wald test; the bottom panel reports the informal coefficient from a population-weighted linear probability model with standard errors clustered on the enumeration area.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0.141</w:t>
            </w:r>
          </w:p>
        </w:tc>
        <w:tc>
          <w:tcPr/>
          <w:p>
            <w:pPr>
              <w:pStyle w:val="Compact"/>
              <w:jc w:val="right"/>
            </w:pPr>
            <w:r>
              <w:t xml:space="preserve">0.040</w:t>
            </w:r>
          </w:p>
        </w:tc>
        <w:tc>
          <w:tcPr/>
          <w:p>
            <w:pPr>
              <w:pStyle w:val="Compact"/>
              <w:jc w:val="right"/>
            </w:pPr>
            <w:r>
              <w:t xml:space="preserve">-0.018</w:t>
            </w:r>
          </w:p>
        </w:tc>
        <w:tc>
          <w:tcPr/>
          <w:p>
            <w:pPr>
              <w:pStyle w:val="Compact"/>
              <w:jc w:val="right"/>
            </w:pPr>
            <w:r>
              <w:t xml:space="preserve">0.098</w:t>
            </w:r>
          </w:p>
        </w:tc>
        <w:tc>
          <w:tcPr/>
          <w:p>
            <w:pPr>
              <w:pStyle w:val="Compact"/>
              <w:jc w:val="right"/>
            </w:pPr>
            <w:r>
              <w:t xml:space="preserve">0.023</w:t>
            </w:r>
          </w:p>
        </w:tc>
        <w:tc>
          <w:tcPr/>
          <w:p>
            <w:pPr>
              <w:pStyle w:val="Compact"/>
              <w:jc w:val="right"/>
            </w:pPr>
            <w:r>
              <w:t xml:space="preserve">0.017</w:t>
            </w:r>
          </w:p>
        </w:tc>
      </w:tr>
      <w:tr>
        <w:tc>
          <w:tcPr/>
          <w:p>
            <w:pPr>
              <w:pStyle w:val="Compact"/>
            </w:pPr>
            <w:r>
              <w:t xml:space="preserve">CHE, budget share &gt; 25%</w:t>
            </w:r>
          </w:p>
        </w:tc>
        <w:tc>
          <w:tcPr/>
          <w:p>
            <w:pPr>
              <w:pStyle w:val="Compact"/>
              <w:jc w:val="right"/>
            </w:pPr>
            <w:r>
              <w:t xml:space="preserve">0.034</w:t>
            </w:r>
          </w:p>
        </w:tc>
        <w:tc>
          <w:tcPr/>
          <w:p>
            <w:pPr>
              <w:pStyle w:val="Compact"/>
              <w:jc w:val="right"/>
            </w:pPr>
            <w:r>
              <w:t xml:space="preserve">0.065</w:t>
            </w:r>
          </w:p>
        </w:tc>
        <w:tc>
          <w:tcPr/>
          <w:p>
            <w:pPr>
              <w:pStyle w:val="Compact"/>
              <w:jc w:val="right"/>
            </w:pPr>
            <w:r>
              <w:t xml:space="preserve">-0.088</w:t>
            </w:r>
          </w:p>
        </w:tc>
        <w:tc>
          <w:tcPr/>
          <w:p>
            <w:pPr>
              <w:pStyle w:val="Compact"/>
              <w:jc w:val="right"/>
            </w:pPr>
            <w:r>
              <w:t xml:space="preserve">0.218</w:t>
            </w:r>
          </w:p>
        </w:tc>
        <w:tc>
          <w:tcPr/>
          <w:p>
            <w:pPr>
              <w:pStyle w:val="Compact"/>
              <w:jc w:val="right"/>
            </w:pPr>
            <w:r>
              <w:t xml:space="preserve">0.009</w:t>
            </w:r>
          </w:p>
        </w:tc>
        <w:tc>
          <w:tcPr/>
          <w:p>
            <w:pPr>
              <w:pStyle w:val="Compact"/>
              <w:jc w:val="right"/>
            </w:pPr>
            <w:r>
              <w:t xml:space="preserve">0.010</w:t>
            </w:r>
          </w:p>
        </w:tc>
      </w:tr>
      <w:tr>
        <w:tc>
          <w:tcPr/>
          <w:p>
            <w:pPr>
              <w:pStyle w:val="Compact"/>
            </w:pPr>
            <w:r>
              <w:t xml:space="preserve">CHE, capacity to pay &gt;= 40%</w:t>
            </w:r>
          </w:p>
        </w:tc>
        <w:tc>
          <w:tcPr/>
          <w:p>
            <w:pPr>
              <w:pStyle w:val="Compact"/>
              <w:jc w:val="right"/>
            </w:pPr>
            <w:r>
              <w:t xml:space="preserve">0.079</w:t>
            </w:r>
          </w:p>
        </w:tc>
        <w:tc>
          <w:tcPr/>
          <w:p>
            <w:pPr>
              <w:pStyle w:val="Compact"/>
              <w:jc w:val="right"/>
            </w:pPr>
            <w:r>
              <w:t xml:space="preserve">-0.150</w:t>
            </w:r>
          </w:p>
        </w:tc>
        <w:tc>
          <w:tcPr/>
          <w:p>
            <w:pPr>
              <w:pStyle w:val="Compact"/>
              <w:jc w:val="right"/>
            </w:pPr>
            <w:r>
              <w:t xml:space="preserve">-0.223</w:t>
            </w:r>
          </w:p>
        </w:tc>
        <w:tc>
          <w:tcPr/>
          <w:p>
            <w:pPr>
              <w:pStyle w:val="Compact"/>
              <w:jc w:val="right"/>
            </w:pPr>
            <w:r>
              <w:t xml:space="preserve">-0.077</w:t>
            </w:r>
          </w:p>
        </w:tc>
        <w:tc>
          <w:tcPr/>
          <w:p>
            <w:pPr>
              <w:pStyle w:val="Compact"/>
              <w:jc w:val="right"/>
            </w:pPr>
            <w:r>
              <w:t xml:space="preserve">-0.047</w:t>
            </w:r>
          </w:p>
        </w:tc>
        <w:tc>
          <w:tcPr/>
          <w:p>
            <w:pPr>
              <w:pStyle w:val="Compact"/>
              <w:jc w:val="right"/>
            </w:pPr>
            <w:r>
              <w:t xml:space="preserve">0.013</w:t>
            </w:r>
          </w:p>
        </w:tc>
      </w:tr>
      <w:tr>
        <w:tc>
          <w:tcPr/>
          <w:p>
            <w:pPr>
              <w:pStyle w:val="Compact"/>
            </w:pPr>
            <w:r>
              <w:t xml:space="preserve">OOP share of consumption</w:t>
            </w:r>
          </w:p>
        </w:tc>
        <w:tc>
          <w:tcPr/>
          <w:p>
            <w:pPr>
              <w:pStyle w:val="Compact"/>
              <w:jc w:val="right"/>
            </w:pPr>
            <w:r>
              <w:t xml:space="preserve">0.048</w:t>
            </w:r>
          </w:p>
        </w:tc>
        <w:tc>
          <w:tcPr/>
          <w:p>
            <w:pPr>
              <w:pStyle w:val="Compact"/>
              <w:jc w:val="right"/>
            </w:pPr>
            <w:r>
              <w:t xml:space="preserve">0.032</w:t>
            </w:r>
          </w:p>
        </w:tc>
        <w:tc>
          <w:tcPr/>
          <w:p>
            <w:pPr>
              <w:pStyle w:val="Compact"/>
              <w:jc w:val="right"/>
            </w:pPr>
            <w:r>
              <w:t xml:space="preserve">-0.013</w:t>
            </w:r>
          </w:p>
        </w:tc>
        <w:tc>
          <w:tcPr/>
          <w:p>
            <w:pPr>
              <w:pStyle w:val="Compact"/>
              <w:jc w:val="right"/>
            </w:pPr>
            <w:r>
              <w:t xml:space="preserve">0.077</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0.010</w:t>
            </w:r>
          </w:p>
        </w:tc>
        <w:tc>
          <w:tcPr/>
          <w:p>
            <w:pPr>
              <w:pStyle w:val="Compact"/>
              <w:jc w:val="right"/>
            </w:pPr>
            <w:r>
              <w:t xml:space="preserve">-0.025</w:t>
            </w:r>
          </w:p>
        </w:tc>
        <w:tc>
          <w:tcPr/>
          <w:p>
            <w:pPr>
              <w:pStyle w:val="Compact"/>
              <w:jc w:val="right"/>
            </w:pPr>
            <w:r>
              <w:t xml:space="preserve">0.027</w:t>
            </w:r>
          </w:p>
        </w:tc>
      </w:tr>
    </w:tbl>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 (%)</w:t>
            </w:r>
          </w:p>
        </w:tc>
        <w:tc>
          <w:tcPr/>
          <w:p>
            <w:pPr>
              <w:pStyle w:val="Compact"/>
              <w:jc w:val="right"/>
            </w:pPr>
            <w:r>
              <w:t xml:space="preserve">Informal</w:t>
            </w:r>
          </w:p>
        </w:tc>
        <w:tc>
          <w:tcPr/>
          <w:p>
            <w:pPr>
              <w:pStyle w:val="Compact"/>
              <w:jc w:val="right"/>
            </w:pPr>
            <w:r>
              <w:t xml:space="preserve">SE</w:t>
            </w:r>
          </w:p>
        </w:tc>
        <w:tc>
          <w:tcPr/>
          <w:p>
            <w:pPr>
              <w:pStyle w:val="Compact"/>
              <w:jc w:val="right"/>
            </w:pPr>
            <w:r>
              <w:t xml:space="preserve">Formal</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14.4</w:t>
            </w:r>
          </w:p>
        </w:tc>
        <w:tc>
          <w:tcPr/>
          <w:p>
            <w:pPr>
              <w:pStyle w:val="Compact"/>
              <w:jc w:val="right"/>
            </w:pPr>
            <w:r>
              <w:t xml:space="preserve">0.9</w:t>
            </w:r>
          </w:p>
        </w:tc>
        <w:tc>
          <w:tcPr/>
          <w:p>
            <w:pPr>
              <w:pStyle w:val="Compact"/>
              <w:jc w:val="right"/>
            </w:pPr>
            <w:r>
              <w:t xml:space="preserve">13.3</w:t>
            </w:r>
          </w:p>
        </w:tc>
        <w:tc>
          <w:tcPr/>
          <w:p>
            <w:pPr>
              <w:pStyle w:val="Compact"/>
              <w:jc w:val="right"/>
            </w:pPr>
            <w:r>
              <w:t xml:space="preserve">1.7</w:t>
            </w:r>
          </w:p>
        </w:tc>
        <w:tc>
          <w:tcPr/>
          <w:p>
            <w:pPr>
              <w:pStyle w:val="Compact"/>
              <w:jc w:val="right"/>
            </w:pPr>
            <w:r>
              <w:t xml:space="preserve">1.1</w:t>
            </w:r>
          </w:p>
        </w:tc>
        <w:tc>
          <w:tcPr/>
          <w:p>
            <w:pPr>
              <w:pStyle w:val="Compact"/>
              <w:jc w:val="right"/>
            </w:pPr>
            <w:r>
              <w:t xml:space="preserve">0.591</w:t>
            </w:r>
          </w:p>
        </w:tc>
      </w:tr>
      <w:tr>
        <w:tc>
          <w:tcPr/>
          <w:p>
            <w:pPr>
              <w:pStyle w:val="Compact"/>
            </w:pPr>
            <w:r>
              <w:t xml:space="preserve">CHE &gt; 25%</w:t>
            </w:r>
          </w:p>
        </w:tc>
        <w:tc>
          <w:tcPr/>
          <w:p>
            <w:pPr>
              <w:pStyle w:val="Compact"/>
              <w:jc w:val="right"/>
            </w:pPr>
            <w:r>
              <w:t xml:space="preserve">3.6</w:t>
            </w:r>
          </w:p>
        </w:tc>
        <w:tc>
          <w:tcPr/>
          <w:p>
            <w:pPr>
              <w:pStyle w:val="Compact"/>
              <w:jc w:val="right"/>
            </w:pPr>
            <w:r>
              <w:t xml:space="preserve">0.5</w:t>
            </w:r>
          </w:p>
        </w:tc>
        <w:tc>
          <w:tcPr/>
          <w:p>
            <w:pPr>
              <w:pStyle w:val="Compact"/>
              <w:jc w:val="right"/>
            </w:pPr>
            <w:r>
              <w:t xml:space="preserve">2.5</w:t>
            </w:r>
          </w:p>
        </w:tc>
        <w:tc>
          <w:tcPr/>
          <w:p>
            <w:pPr>
              <w:pStyle w:val="Compact"/>
              <w:jc w:val="right"/>
            </w:pPr>
            <w:r>
              <w:t xml:space="preserve">0.9</w:t>
            </w:r>
          </w:p>
        </w:tc>
        <w:tc>
          <w:tcPr/>
          <w:p>
            <w:pPr>
              <w:pStyle w:val="Compact"/>
              <w:jc w:val="right"/>
            </w:pPr>
            <w:r>
              <w:t xml:space="preserve">1.1</w:t>
            </w:r>
          </w:p>
        </w:tc>
        <w:tc>
          <w:tcPr/>
          <w:p>
            <w:pPr>
              <w:pStyle w:val="Compact"/>
              <w:jc w:val="right"/>
            </w:pPr>
            <w:r>
              <w:t xml:space="preserve">0.303</w:t>
            </w:r>
          </w:p>
        </w:tc>
      </w:tr>
      <w:tr>
        <w:tc>
          <w:tcPr/>
          <w:p>
            <w:pPr>
              <w:pStyle w:val="Compact"/>
            </w:pPr>
            <w:r>
              <w:t xml:space="preserve">CHE, CTP &gt;= 40%</w:t>
            </w:r>
          </w:p>
        </w:tc>
        <w:tc>
          <w:tcPr/>
          <w:p>
            <w:pPr>
              <w:pStyle w:val="Compact"/>
              <w:jc w:val="right"/>
            </w:pPr>
            <w:r>
              <w:t xml:space="preserve">8.7</w:t>
            </w:r>
          </w:p>
        </w:tc>
        <w:tc>
          <w:tcPr/>
          <w:p>
            <w:pPr>
              <w:pStyle w:val="Compact"/>
              <w:jc w:val="right"/>
            </w:pPr>
            <w:r>
              <w:t xml:space="preserve">0.7</w:t>
            </w:r>
          </w:p>
        </w:tc>
        <w:tc>
          <w:tcPr/>
          <w:p>
            <w:pPr>
              <w:pStyle w:val="Compact"/>
              <w:jc w:val="right"/>
            </w:pPr>
            <w:r>
              <w:t xml:space="preserve">4.8</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0.005</w:t>
            </w:r>
          </w:p>
        </w:tc>
      </w:tr>
      <w:tr>
        <w:tc>
          <w:tcPr/>
          <w:p>
            <w:pPr>
              <w:pStyle w:val="Compact"/>
            </w:pPr>
            <w:r>
              <w:t xml:space="preserve">OOP share of consumption</w:t>
            </w:r>
          </w:p>
        </w:tc>
        <w:tc>
          <w:tcPr/>
          <w:p>
            <w:pPr>
              <w:pStyle w:val="Compact"/>
              <w:jc w:val="right"/>
            </w:pPr>
            <w:r>
              <w:t xml:space="preserve">4.8</w:t>
            </w:r>
          </w:p>
        </w:tc>
        <w:tc>
          <w:tcPr/>
          <w:p>
            <w:pPr>
              <w:pStyle w:val="Compact"/>
              <w:jc w:val="right"/>
            </w:pPr>
            <w:r>
              <w:t xml:space="preserve">0.2</w:t>
            </w:r>
          </w:p>
        </w:tc>
        <w:tc>
          <w:tcPr/>
          <w:p>
            <w:pPr>
              <w:pStyle w:val="Compact"/>
              <w:jc w:val="right"/>
            </w:pPr>
            <w:r>
              <w:t xml:space="preserve">4.6</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0.536</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Outcome</w:t>
            </w:r>
          </w:p>
        </w:tc>
        <w:tc>
          <w:tcPr/>
          <w:p>
            <w:pPr>
              <w:pStyle w:val="Compact"/>
              <w:jc w:val="right"/>
            </w:pPr>
            <w:r>
              <w:t xml:space="preserve">Controls</w:t>
            </w:r>
          </w:p>
        </w:tc>
        <w:tc>
          <w:tcPr/>
          <w:p>
            <w:pPr>
              <w:pStyle w:val="Compact"/>
              <w:jc w:val="right"/>
            </w:pPr>
            <w:r>
              <w:t xml:space="preserve">Informal coefficient pp</w:t>
            </w:r>
          </w:p>
        </w:tc>
        <w:tc>
          <w:tcPr/>
          <w:p>
            <w:pPr>
              <w:pStyle w:val="Compact"/>
              <w:jc w:val="right"/>
            </w:pPr>
            <w:r>
              <w:t xml:space="preserve">SE</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Unadjusted</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0.571</w:t>
            </w:r>
          </w:p>
        </w:tc>
      </w:tr>
      <w:tr>
        <w:tc>
          <w:tcPr/>
          <w:p>
            <w:pPr>
              <w:pStyle w:val="Compact"/>
            </w:pPr>
            <w:r>
              <w:t xml:space="preserve">CHE &gt; 10%</w:t>
            </w:r>
          </w:p>
        </w:tc>
        <w:tc>
          <w:tcPr/>
          <w:p>
            <w:pPr>
              <w:pStyle w:val="Compact"/>
              <w:jc w:val="right"/>
            </w:pPr>
            <w:r>
              <w:t xml:space="preserve">Consumption quintile</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0.401</w:t>
            </w:r>
          </w:p>
        </w:tc>
      </w:tr>
      <w:tr>
        <w:tc>
          <w:tcPr/>
          <w:p>
            <w:pPr>
              <w:pStyle w:val="Compact"/>
            </w:pPr>
            <w:r>
              <w:t xml:space="preserve">CHE &gt; 10%</w:t>
            </w:r>
          </w:p>
        </w:tc>
        <w:tc>
          <w:tcPr/>
          <w:p>
            <w:pPr>
              <w:pStyle w:val="Compact"/>
              <w:jc w:val="right"/>
            </w:pPr>
            <w:r>
              <w:t xml:space="preserve">Quintile, zone, residence, household size</w:t>
            </w:r>
          </w:p>
        </w:tc>
        <w:tc>
          <w:tcPr/>
          <w:p>
            <w:pPr>
              <w:pStyle w:val="Compact"/>
              <w:jc w:val="right"/>
            </w:pPr>
            <w:r>
              <w:t xml:space="preserve">1.3</w:t>
            </w:r>
          </w:p>
        </w:tc>
        <w:tc>
          <w:tcPr/>
          <w:p>
            <w:pPr>
              <w:pStyle w:val="Compact"/>
              <w:jc w:val="right"/>
            </w:pPr>
            <w:r>
              <w:t xml:space="preserve">1.9</w:t>
            </w:r>
          </w:p>
        </w:tc>
        <w:tc>
          <w:tcPr/>
          <w:p>
            <w:pPr>
              <w:pStyle w:val="Compact"/>
              <w:jc w:val="right"/>
            </w:pPr>
            <w:r>
              <w:t xml:space="preserve">0.486</w:t>
            </w:r>
          </w:p>
        </w:tc>
      </w:tr>
      <w:tr>
        <w:tc>
          <w:tcPr/>
          <w:p>
            <w:pPr>
              <w:pStyle w:val="Compact"/>
            </w:pPr>
            <w:r>
              <w:t xml:space="preserve">CHE, CTP &gt;= 40%</w:t>
            </w:r>
          </w:p>
        </w:tc>
        <w:tc>
          <w:tcPr/>
          <w:p>
            <w:pPr>
              <w:pStyle w:val="Compact"/>
              <w:jc w:val="right"/>
            </w:pPr>
            <w:r>
              <w:t xml:space="preserve">Unadjusted</w:t>
            </w:r>
          </w:p>
        </w:tc>
        <w:tc>
          <w:tcPr/>
          <w:p>
            <w:pPr>
              <w:pStyle w:val="Compact"/>
              <w:jc w:val="right"/>
            </w:pPr>
            <w:r>
              <w:t xml:space="preserve">3.8</w:t>
            </w:r>
          </w:p>
        </w:tc>
        <w:tc>
          <w:tcPr/>
          <w:p>
            <w:pPr>
              <w:pStyle w:val="Compact"/>
              <w:jc w:val="right"/>
            </w:pPr>
            <w:r>
              <w:t xml:space="preserve">1.4</w:t>
            </w:r>
          </w:p>
        </w:tc>
        <w:tc>
          <w:tcPr/>
          <w:p>
            <w:pPr>
              <w:pStyle w:val="Compact"/>
              <w:jc w:val="right"/>
            </w:pPr>
            <w:r>
              <w:t xml:space="preserve">0.007</w:t>
            </w:r>
          </w:p>
        </w:tc>
      </w:tr>
      <w:tr>
        <w:tc>
          <w:tcPr/>
          <w:p>
            <w:pPr>
              <w:pStyle w:val="Compact"/>
            </w:pPr>
            <w:r>
              <w:t xml:space="preserve">CHE, CTP &gt;= 40%</w:t>
            </w:r>
          </w:p>
        </w:tc>
        <w:tc>
          <w:tcPr/>
          <w:p>
            <w:pPr>
              <w:pStyle w:val="Compact"/>
              <w:jc w:val="right"/>
            </w:pPr>
            <w:r>
              <w:t xml:space="preserve">Consumption quintile</w:t>
            </w:r>
          </w:p>
        </w:tc>
        <w:tc>
          <w:tcPr/>
          <w:p>
            <w:pPr>
              <w:pStyle w:val="Compact"/>
              <w:jc w:val="right"/>
            </w:pPr>
            <w:r>
              <w:t xml:space="preserve">3.1</w:t>
            </w:r>
          </w:p>
        </w:tc>
        <w:tc>
          <w:tcPr/>
          <w:p>
            <w:pPr>
              <w:pStyle w:val="Compact"/>
              <w:jc w:val="right"/>
            </w:pPr>
            <w:r>
              <w:t xml:space="preserve">1.4</w:t>
            </w:r>
          </w:p>
        </w:tc>
        <w:tc>
          <w:tcPr/>
          <w:p>
            <w:pPr>
              <w:pStyle w:val="Compact"/>
              <w:jc w:val="right"/>
            </w:pPr>
            <w:r>
              <w:t xml:space="preserve">0.026</w:t>
            </w:r>
          </w:p>
        </w:tc>
      </w:tr>
      <w:tr>
        <w:tc>
          <w:tcPr/>
          <w:p>
            <w:pPr>
              <w:pStyle w:val="Compact"/>
            </w:pPr>
            <w:r>
              <w:t xml:space="preserve">CHE, CTP &gt;= 40%</w:t>
            </w:r>
          </w:p>
        </w:tc>
        <w:tc>
          <w:tcPr/>
          <w:p>
            <w:pPr>
              <w:pStyle w:val="Compact"/>
              <w:jc w:val="right"/>
            </w:pPr>
            <w:r>
              <w:t xml:space="preserve">Quintile, zone, residence, household size</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0.107</w:t>
            </w:r>
          </w:p>
        </w:tc>
      </w:tr>
    </w:tbl>
    <w:p>
      <w:pPr>
        <w:pStyle w:val="BodyText"/>
      </w:pPr>
      <w:r>
        <w:rPr>
          <w:b/>
          <w:bCs/>
        </w:rPr>
        <w:t xml:space="preserve">Table 4.</w:t>
      </w:r>
      <w:r>
        <w:t xml:space="preserve"> </w:t>
      </w:r>
      <w:r>
        <w:t xml:space="preserve">From observed spending to the gross premium, and what households can pay.</w:t>
      </w:r>
    </w:p>
    <w:p>
      <w:pPr>
        <w:pStyle w:val="BodyText"/>
      </w:pPr>
      <w:r>
        <w:rPr>
          <w:i/>
          <w:iCs/>
        </w:rPr>
        <w:t xml:space="preserve">Naira per person per year. Second panel: loadings for a 20,000-life pool on the two risk-margin conventions (other pool sizes in Table A5). Third panel: the gross premium against per-capita consumption by quintile; quintiles rank people, and household size is the household-weighted mean since a premium is billed once per household. Fourth panel: the contribution ceiling, 5% of the mean per-capita consumption of informal-sector members of each quintile.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23,296</w:t>
            </w:r>
          </w:p>
        </w:tc>
        <w:tc>
          <w:tcPr/>
          <w:p>
            <w:pPr>
              <w:pStyle w:val="Compact"/>
              <w:jc w:val="right"/>
            </w:pPr>
            <w:r>
              <w:t xml:space="preserve">6,808</w:t>
            </w:r>
          </w:p>
        </w:tc>
      </w:tr>
      <w:tr>
        <w:tc>
          <w:tcPr/>
          <w:p>
            <w:pPr>
              <w:pStyle w:val="Compact"/>
            </w:pPr>
            <w:r>
              <w:t xml:space="preserve">less member co-payment on drugs (10%)</w:t>
            </w:r>
          </w:p>
        </w:tc>
        <w:tc>
          <w:tcPr/>
          <w:p>
            <w:pPr>
              <w:pStyle w:val="Compact"/>
              <w:jc w:val="right"/>
            </w:pPr>
            <w:r>
              <w:t xml:space="preserve">21,459</w:t>
            </w:r>
          </w:p>
        </w:tc>
        <w:tc>
          <w:tcPr/>
          <w:p>
            <w:pPr>
              <w:pStyle w:val="Compact"/>
              <w:jc w:val="right"/>
            </w:pPr>
            <w:r>
              <w:t xml:space="preserve">-1,837</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 15%</w:t>
            </w:r>
          </w:p>
        </w:tc>
        <w:tc>
          <w:tcPr/>
          <w:p>
            <w:pPr>
              <w:pStyle w:val="Compact"/>
              <w:jc w:val="right"/>
            </w:pPr>
            <w:r>
              <w:t xml:space="preserve">Selection 10%</w:t>
            </w:r>
          </w:p>
        </w:tc>
        <w:tc>
          <w:tcPr/>
          <w:p>
            <w:pPr>
              <w:pStyle w:val="Compact"/>
              <w:jc w:val="right"/>
            </w:pPr>
            <w:r>
              <w:t xml:space="preserve">Gross premium</w:t>
            </w:r>
          </w:p>
        </w:tc>
      </w:tr>
      <w:tr>
        <w:tc>
          <w:tcPr/>
          <w:p>
            <w:pPr>
              <w:pStyle w:val="Compact"/>
            </w:pPr>
            <w:r>
              <w:t xml:space="preserve">Standard deviation</w:t>
            </w:r>
          </w:p>
        </w:tc>
        <w:tc>
          <w:tcPr/>
          <w:p>
            <w:pPr>
              <w:pStyle w:val="Compact"/>
              <w:jc w:val="right"/>
            </w:pPr>
            <w:r>
              <w:t xml:space="preserve">21,459</w:t>
            </w:r>
          </w:p>
        </w:tc>
        <w:tc>
          <w:tcPr/>
          <w:p>
            <w:pPr>
              <w:pStyle w:val="Compact"/>
              <w:jc w:val="right"/>
            </w:pPr>
            <w:r>
              <w:t xml:space="preserve">81</w:t>
            </w:r>
          </w:p>
        </w:tc>
        <w:tc>
          <w:tcPr/>
          <w:p>
            <w:pPr>
              <w:pStyle w:val="Compact"/>
              <w:jc w:val="right"/>
            </w:pPr>
            <w:r>
              <w:t xml:space="preserve">3,231</w:t>
            </w:r>
          </w:p>
        </w:tc>
        <w:tc>
          <w:tcPr/>
          <w:p>
            <w:pPr>
              <w:pStyle w:val="Compact"/>
              <w:jc w:val="right"/>
            </w:pPr>
            <w:r>
              <w:t xml:space="preserve">2,477</w:t>
            </w:r>
          </w:p>
        </w:tc>
        <w:tc>
          <w:tcPr/>
          <w:p>
            <w:pPr>
              <w:pStyle w:val="Compact"/>
              <w:jc w:val="right"/>
            </w:pPr>
            <w:r>
              <w:t xml:space="preserve">27,247</w:t>
            </w:r>
          </w:p>
        </w:tc>
      </w:tr>
      <w:tr>
        <w:tc>
          <w:tcPr/>
          <w:p>
            <w:pPr>
              <w:pStyle w:val="Compact"/>
            </w:pPr>
            <w:r>
              <w:t xml:space="preserve">CVaR 95%</w:t>
            </w:r>
          </w:p>
        </w:tc>
        <w:tc>
          <w:tcPr/>
          <w:p>
            <w:pPr>
              <w:pStyle w:val="Compact"/>
              <w:jc w:val="right"/>
            </w:pPr>
            <w:r>
              <w:t xml:space="preserve">21,459</w:t>
            </w:r>
          </w:p>
        </w:tc>
        <w:tc>
          <w:tcPr/>
          <w:p>
            <w:pPr>
              <w:pStyle w:val="Compact"/>
              <w:jc w:val="right"/>
            </w:pPr>
            <w:r>
              <w:t xml:space="preserve">1,812</w:t>
            </w:r>
          </w:p>
        </w:tc>
        <w:tc>
          <w:tcPr/>
          <w:p>
            <w:pPr>
              <w:pStyle w:val="Compact"/>
              <w:jc w:val="right"/>
            </w:pPr>
            <w:r>
              <w:t xml:space="preserve">3,491</w:t>
            </w:r>
          </w:p>
        </w:tc>
        <w:tc>
          <w:tcPr/>
          <w:p>
            <w:pPr>
              <w:pStyle w:val="Compact"/>
              <w:jc w:val="right"/>
            </w:pPr>
            <w:r>
              <w:t xml:space="preserve">2,676</w:t>
            </w:r>
          </w:p>
        </w:tc>
        <w:tc>
          <w:tcPr/>
          <w:p>
            <w:pPr>
              <w:pStyle w:val="Compact"/>
              <w:jc w:val="right"/>
            </w:pPr>
            <w:r>
              <w:t xml:space="preserve">29,437</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Household size</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119,503</w:t>
            </w:r>
          </w:p>
        </w:tc>
        <w:tc>
          <w:tcPr/>
          <w:p>
            <w:pPr>
              <w:pStyle w:val="Compact"/>
              <w:jc w:val="right"/>
            </w:pPr>
            <w:r>
              <w:t xml:space="preserve">8.2</w:t>
            </w:r>
          </w:p>
        </w:tc>
        <w:tc>
          <w:tcPr/>
          <w:p>
            <w:pPr>
              <w:pStyle w:val="Compact"/>
              <w:jc w:val="right"/>
            </w:pPr>
            <w:r>
              <w:t xml:space="preserve">22.8</w:t>
            </w:r>
          </w:p>
        </w:tc>
        <w:tc>
          <w:tcPr/>
          <w:p>
            <w:pPr>
              <w:pStyle w:val="Compact"/>
              <w:jc w:val="right"/>
            </w:pPr>
            <w:r>
              <w:t xml:space="preserve">222,993</w:t>
            </w:r>
          </w:p>
        </w:tc>
      </w:tr>
      <w:tr>
        <w:tc>
          <w:tcPr/>
          <w:p>
            <w:pPr>
              <w:pStyle w:val="Compact"/>
            </w:pPr>
            <w:r>
              <w:t xml:space="preserve">Q2</w:t>
            </w:r>
          </w:p>
        </w:tc>
        <w:tc>
          <w:tcPr/>
          <w:p>
            <w:pPr>
              <w:pStyle w:val="Compact"/>
              <w:jc w:val="right"/>
            </w:pPr>
            <w:r>
              <w:t xml:space="preserve">203,279</w:t>
            </w:r>
          </w:p>
        </w:tc>
        <w:tc>
          <w:tcPr/>
          <w:p>
            <w:pPr>
              <w:pStyle w:val="Compact"/>
              <w:jc w:val="right"/>
            </w:pPr>
            <w:r>
              <w:t xml:space="preserve">7.6</w:t>
            </w:r>
          </w:p>
        </w:tc>
        <w:tc>
          <w:tcPr/>
          <w:p>
            <w:pPr>
              <w:pStyle w:val="Compact"/>
              <w:jc w:val="right"/>
            </w:pPr>
            <w:r>
              <w:t xml:space="preserve">13.4</w:t>
            </w:r>
          </w:p>
        </w:tc>
        <w:tc>
          <w:tcPr/>
          <w:p>
            <w:pPr>
              <w:pStyle w:val="Compact"/>
              <w:jc w:val="right"/>
            </w:pPr>
            <w:r>
              <w:t xml:space="preserve">206,162</w:t>
            </w:r>
          </w:p>
        </w:tc>
      </w:tr>
      <w:tr>
        <w:tc>
          <w:tcPr/>
          <w:p>
            <w:pPr>
              <w:pStyle w:val="Compact"/>
            </w:pPr>
            <w:r>
              <w:t xml:space="preserve">Q3</w:t>
            </w:r>
          </w:p>
        </w:tc>
        <w:tc>
          <w:tcPr/>
          <w:p>
            <w:pPr>
              <w:pStyle w:val="Compact"/>
              <w:jc w:val="right"/>
            </w:pPr>
            <w:r>
              <w:t xml:space="preserve">280,983</w:t>
            </w:r>
          </w:p>
        </w:tc>
        <w:tc>
          <w:tcPr/>
          <w:p>
            <w:pPr>
              <w:pStyle w:val="Compact"/>
              <w:jc w:val="right"/>
            </w:pPr>
            <w:r>
              <w:t xml:space="preserve">6.0</w:t>
            </w:r>
          </w:p>
        </w:tc>
        <w:tc>
          <w:tcPr/>
          <w:p>
            <w:pPr>
              <w:pStyle w:val="Compact"/>
              <w:jc w:val="right"/>
            </w:pPr>
            <w:r>
              <w:t xml:space="preserve">9.7</w:t>
            </w:r>
          </w:p>
        </w:tc>
        <w:tc>
          <w:tcPr/>
          <w:p>
            <w:pPr>
              <w:pStyle w:val="Compact"/>
              <w:jc w:val="right"/>
            </w:pPr>
            <w:r>
              <w:t xml:space="preserve">164,381</w:t>
            </w:r>
          </w:p>
        </w:tc>
      </w:tr>
      <w:tr>
        <w:tc>
          <w:tcPr/>
          <w:p>
            <w:pPr>
              <w:pStyle w:val="Compact"/>
            </w:pPr>
            <w:r>
              <w:t xml:space="preserve">Q4</w:t>
            </w:r>
          </w:p>
        </w:tc>
        <w:tc>
          <w:tcPr/>
          <w:p>
            <w:pPr>
              <w:pStyle w:val="Compact"/>
              <w:jc w:val="right"/>
            </w:pPr>
            <w:r>
              <w:t xml:space="preserve">412,333</w:t>
            </w:r>
          </w:p>
        </w:tc>
        <w:tc>
          <w:tcPr/>
          <w:p>
            <w:pPr>
              <w:pStyle w:val="Compact"/>
              <w:jc w:val="right"/>
            </w:pPr>
            <w:r>
              <w:t xml:space="preserve">4.7</w:t>
            </w:r>
          </w:p>
        </w:tc>
        <w:tc>
          <w:tcPr/>
          <w:p>
            <w:pPr>
              <w:pStyle w:val="Compact"/>
              <w:jc w:val="right"/>
            </w:pPr>
            <w:r>
              <w:t xml:space="preserve">6.6</w:t>
            </w:r>
          </w:p>
        </w:tc>
        <w:tc>
          <w:tcPr/>
          <w:p>
            <w:pPr>
              <w:pStyle w:val="Compact"/>
              <w:jc w:val="right"/>
            </w:pPr>
            <w:r>
              <w:t xml:space="preserve">129,121</w:t>
            </w:r>
          </w:p>
        </w:tc>
      </w:tr>
      <w:tr>
        <w:tc>
          <w:tcPr/>
          <w:p>
            <w:pPr>
              <w:pStyle w:val="Compact"/>
            </w:pPr>
            <w:r>
              <w:t xml:space="preserve">Q5 (richest)</w:t>
            </w:r>
          </w:p>
        </w:tc>
        <w:tc>
          <w:tcPr/>
          <w:p>
            <w:pPr>
              <w:pStyle w:val="Compact"/>
              <w:jc w:val="right"/>
            </w:pPr>
            <w:r>
              <w:t xml:space="preserve">895,288</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82,823</w:t>
            </w:r>
          </w:p>
        </w:tc>
      </w:tr>
    </w:tbl>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Informal-sector group</w:t>
            </w:r>
          </w:p>
        </w:tc>
        <w:tc>
          <w:tcPr/>
          <w:p>
            <w:pPr>
              <w:pStyle w:val="Compact"/>
              <w:jc w:val="right"/>
            </w:pPr>
            <w:r>
              <w:t xml:space="preserve">Consumption per capita</w:t>
            </w:r>
          </w:p>
        </w:tc>
        <w:tc>
          <w:tcPr/>
          <w:p>
            <w:pPr>
              <w:pStyle w:val="Compact"/>
              <w:jc w:val="right"/>
            </w:pPr>
            <w:r>
              <w:t xml:space="preserve">Contribution ceiling (5%)</w:t>
            </w:r>
          </w:p>
        </w:tc>
      </w:tr>
      <w:tr>
        <w:tc>
          <w:tcPr/>
          <w:p>
            <w:pPr>
              <w:pStyle w:val="Compact"/>
            </w:pPr>
            <w:r>
              <w:t xml:space="preserve">All informal households</w:t>
            </w:r>
          </w:p>
        </w:tc>
        <w:tc>
          <w:tcPr/>
          <w:p>
            <w:pPr>
              <w:pStyle w:val="Compact"/>
              <w:jc w:val="right"/>
            </w:pPr>
            <w:r>
              <w:t xml:space="preserve">359,726</w:t>
            </w:r>
          </w:p>
        </w:tc>
        <w:tc>
          <w:tcPr/>
          <w:p>
            <w:pPr>
              <w:pStyle w:val="Compact"/>
              <w:jc w:val="right"/>
            </w:pPr>
            <w:r>
              <w:t xml:space="preserve">17,986</w:t>
            </w:r>
          </w:p>
        </w:tc>
      </w:tr>
      <w:tr>
        <w:tc>
          <w:tcPr/>
          <w:p>
            <w:pPr>
              <w:pStyle w:val="Compact"/>
            </w:pPr>
            <w:r>
              <w:t xml:space="preserve">Informal, quintile 1</w:t>
            </w:r>
          </w:p>
        </w:tc>
        <w:tc>
          <w:tcPr/>
          <w:p>
            <w:pPr>
              <w:pStyle w:val="Compact"/>
              <w:jc w:val="right"/>
            </w:pPr>
            <w:r>
              <w:t xml:space="preserve">118,923</w:t>
            </w:r>
          </w:p>
        </w:tc>
        <w:tc>
          <w:tcPr/>
          <w:p>
            <w:pPr>
              <w:pStyle w:val="Compact"/>
              <w:jc w:val="right"/>
            </w:pPr>
            <w:r>
              <w:t xml:space="preserve">5,946</w:t>
            </w:r>
          </w:p>
        </w:tc>
      </w:tr>
      <w:tr>
        <w:tc>
          <w:tcPr/>
          <w:p>
            <w:pPr>
              <w:pStyle w:val="Compact"/>
            </w:pPr>
            <w:r>
              <w:t xml:space="preserve">Informal, quintile 2</w:t>
            </w:r>
          </w:p>
        </w:tc>
        <w:tc>
          <w:tcPr/>
          <w:p>
            <w:pPr>
              <w:pStyle w:val="Compact"/>
              <w:jc w:val="right"/>
            </w:pPr>
            <w:r>
              <w:t xml:space="preserve">202,745</w:t>
            </w:r>
          </w:p>
        </w:tc>
        <w:tc>
          <w:tcPr/>
          <w:p>
            <w:pPr>
              <w:pStyle w:val="Compact"/>
              <w:jc w:val="right"/>
            </w:pPr>
            <w:r>
              <w:t xml:space="preserve">10,137</w:t>
            </w:r>
          </w:p>
        </w:tc>
      </w:tr>
      <w:tr>
        <w:tc>
          <w:tcPr/>
          <w:p>
            <w:pPr>
              <w:pStyle w:val="Compact"/>
            </w:pPr>
            <w:r>
              <w:t xml:space="preserve">Informal, quintile 3</w:t>
            </w:r>
          </w:p>
        </w:tc>
        <w:tc>
          <w:tcPr/>
          <w:p>
            <w:pPr>
              <w:pStyle w:val="Compact"/>
              <w:jc w:val="right"/>
            </w:pPr>
            <w:r>
              <w:t xml:space="preserve">279,669</w:t>
            </w:r>
          </w:p>
        </w:tc>
        <w:tc>
          <w:tcPr/>
          <w:p>
            <w:pPr>
              <w:pStyle w:val="Compact"/>
              <w:jc w:val="right"/>
            </w:pPr>
            <w:r>
              <w:t xml:space="preserve">13,983</w:t>
            </w:r>
          </w:p>
        </w:tc>
      </w:tr>
      <w:tr>
        <w:tc>
          <w:tcPr/>
          <w:p>
            <w:pPr>
              <w:pStyle w:val="Compact"/>
            </w:pPr>
            <w:r>
              <w:t xml:space="preserve">Informal, quintile 4</w:t>
            </w:r>
          </w:p>
        </w:tc>
        <w:tc>
          <w:tcPr/>
          <w:p>
            <w:pPr>
              <w:pStyle w:val="Compact"/>
              <w:jc w:val="right"/>
            </w:pPr>
            <w:r>
              <w:t xml:space="preserve">410,435</w:t>
            </w:r>
          </w:p>
        </w:tc>
        <w:tc>
          <w:tcPr/>
          <w:p>
            <w:pPr>
              <w:pStyle w:val="Compact"/>
              <w:jc w:val="right"/>
            </w:pPr>
            <w:r>
              <w:t xml:space="preserve">20,522</w:t>
            </w:r>
          </w:p>
        </w:tc>
      </w:tr>
      <w:tr>
        <w:tc>
          <w:tcPr/>
          <w:p>
            <w:pPr>
              <w:pStyle w:val="Compact"/>
            </w:pPr>
            <w:r>
              <w:t xml:space="preserve">Informal, quintile 5</w:t>
            </w:r>
          </w:p>
        </w:tc>
        <w:tc>
          <w:tcPr/>
          <w:p>
            <w:pPr>
              <w:pStyle w:val="Compact"/>
              <w:jc w:val="right"/>
            </w:pPr>
            <w:r>
              <w:t xml:space="preserve">888,378</w:t>
            </w:r>
          </w:p>
        </w:tc>
        <w:tc>
          <w:tcPr/>
          <w:p>
            <w:pPr>
              <w:pStyle w:val="Compact"/>
              <w:jc w:val="right"/>
            </w:pPr>
            <w:r>
              <w:t xml:space="preserve">44,419</w:t>
            </w:r>
          </w:p>
        </w:tc>
      </w:tr>
    </w:tbl>
    <w:p>
      <w:pPr>
        <w:pStyle w:val="BodyText"/>
      </w:pPr>
      <w:r>
        <w:rPr>
          <w:b/>
          <w:bCs/>
        </w:rPr>
        <w:t xml:space="preserve">Table 5.</w:t>
      </w:r>
      <w:r>
        <w:t xml:space="preserve"> </w:t>
      </w:r>
      <w:r>
        <w:t xml:space="preserve">Minimum subsidy per enrollee for a ruin probability below the target over three years, no opening capital.</w:t>
      </w:r>
    </w:p>
    <w:p>
      <w:pPr>
        <w:pStyle w:val="BodyText"/>
      </w:pPr>
      <w:r>
        <w:rPr>
          <w:i/>
          <w:iCs/>
        </w:rPr>
        <w:t xml:space="preserve">Upper panel: by pool size and take-up pattern, at the flat contribution. Lower panel: a 20,000-life pool by take-up rate, where enrollment probability rises with predicted cost by the tilt factor per standard deviation of log predicted cost; at 100% take-up everyone enrolls and no selection is possible.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N bn per 100,000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36,637</w:t>
            </w:r>
          </w:p>
        </w:tc>
        <w:tc>
          <w:tcPr/>
          <w:p>
            <w:pPr>
              <w:pStyle w:val="Compact"/>
              <w:jc w:val="right"/>
            </w:pPr>
            <w:r>
              <w:t xml:space="preserve">134</w:t>
            </w:r>
          </w:p>
        </w:tc>
        <w:tc>
          <w:tcPr/>
          <w:p>
            <w:pPr>
              <w:pStyle w:val="Compact"/>
              <w:jc w:val="right"/>
            </w:pPr>
            <w:r>
              <w:t xml:space="preserve">3.66</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34,581</w:t>
            </w:r>
          </w:p>
        </w:tc>
        <w:tc>
          <w:tcPr/>
          <w:p>
            <w:pPr>
              <w:pStyle w:val="Compact"/>
              <w:jc w:val="right"/>
            </w:pPr>
            <w:r>
              <w:t xml:space="preserve">127</w:t>
            </w:r>
          </w:p>
        </w:tc>
        <w:tc>
          <w:tcPr/>
          <w:p>
            <w:pPr>
              <w:pStyle w:val="Compact"/>
              <w:jc w:val="right"/>
            </w:pPr>
            <w:r>
              <w:t xml:space="preserve">3.46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18,553</w:t>
            </w:r>
          </w:p>
        </w:tc>
        <w:tc>
          <w:tcPr/>
          <w:p>
            <w:pPr>
              <w:pStyle w:val="Compact"/>
              <w:jc w:val="right"/>
            </w:pPr>
            <w:r>
              <w:t xml:space="preserve">68</w:t>
            </w:r>
          </w:p>
        </w:tc>
        <w:tc>
          <w:tcPr/>
          <w:p>
            <w:pPr>
              <w:pStyle w:val="Compact"/>
              <w:jc w:val="right"/>
            </w:pPr>
            <w:r>
              <w:t xml:space="preserve">1.86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17,083</w:t>
            </w:r>
          </w:p>
        </w:tc>
        <w:tc>
          <w:tcPr/>
          <w:p>
            <w:pPr>
              <w:pStyle w:val="Compact"/>
              <w:jc w:val="right"/>
            </w:pPr>
            <w:r>
              <w:t xml:space="preserve">63</w:t>
            </w:r>
          </w:p>
        </w:tc>
        <w:tc>
          <w:tcPr/>
          <w:p>
            <w:pPr>
              <w:pStyle w:val="Compact"/>
              <w:jc w:val="right"/>
            </w:pPr>
            <w:r>
              <w:t xml:space="preserve">1.71</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57,024</w:t>
            </w:r>
          </w:p>
        </w:tc>
        <w:tc>
          <w:tcPr/>
          <w:p>
            <w:pPr>
              <w:pStyle w:val="Compact"/>
              <w:jc w:val="right"/>
            </w:pPr>
            <w:r>
              <w:t xml:space="preserve">209</w:t>
            </w:r>
          </w:p>
        </w:tc>
        <w:tc>
          <w:tcPr/>
          <w:p>
            <w:pPr>
              <w:pStyle w:val="Compact"/>
              <w:jc w:val="right"/>
            </w:pPr>
            <w:r>
              <w:t xml:space="preserve">5.70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54,360</w:t>
            </w:r>
          </w:p>
        </w:tc>
        <w:tc>
          <w:tcPr/>
          <w:p>
            <w:pPr>
              <w:pStyle w:val="Compact"/>
              <w:jc w:val="right"/>
            </w:pPr>
            <w:r>
              <w:t xml:space="preserve">200</w:t>
            </w:r>
          </w:p>
        </w:tc>
        <w:tc>
          <w:tcPr/>
          <w:p>
            <w:pPr>
              <w:pStyle w:val="Compact"/>
              <w:jc w:val="right"/>
            </w:pPr>
            <w:r>
              <w:t xml:space="preserve">5.44</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33,122</w:t>
            </w:r>
          </w:p>
        </w:tc>
        <w:tc>
          <w:tcPr/>
          <w:p>
            <w:pPr>
              <w:pStyle w:val="Compact"/>
              <w:jc w:val="right"/>
            </w:pPr>
            <w:r>
              <w:t xml:space="preserve">122</w:t>
            </w:r>
          </w:p>
        </w:tc>
        <w:tc>
          <w:tcPr/>
          <w:p>
            <w:pPr>
              <w:pStyle w:val="Compact"/>
              <w:jc w:val="right"/>
            </w:pPr>
            <w:r>
              <w:t xml:space="preserve">3.31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32,205</w:t>
            </w:r>
          </w:p>
        </w:tc>
        <w:tc>
          <w:tcPr/>
          <w:p>
            <w:pPr>
              <w:pStyle w:val="Compact"/>
              <w:jc w:val="right"/>
            </w:pPr>
            <w:r>
              <w:t xml:space="preserve">118</w:t>
            </w:r>
          </w:p>
        </w:tc>
        <w:tc>
          <w:tcPr/>
          <w:p>
            <w:pPr>
              <w:pStyle w:val="Compact"/>
              <w:jc w:val="right"/>
            </w:pPr>
            <w:r>
              <w:t xml:space="preserve">3.22</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16,019</w:t>
            </w:r>
          </w:p>
        </w:tc>
        <w:tc>
          <w:tcPr/>
          <w:p>
            <w:pPr>
              <w:pStyle w:val="Compact"/>
              <w:jc w:val="right"/>
            </w:pPr>
            <w:r>
              <w:t xml:space="preserve">59</w:t>
            </w:r>
          </w:p>
        </w:tc>
        <w:tc>
          <w:tcPr/>
          <w:p>
            <w:pPr>
              <w:pStyle w:val="Compact"/>
              <w:jc w:val="right"/>
            </w:pPr>
            <w:r>
              <w:t xml:space="preserve">1.60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15,339</w:t>
            </w:r>
          </w:p>
        </w:tc>
        <w:tc>
          <w:tcPr/>
          <w:p>
            <w:pPr>
              <w:pStyle w:val="Compact"/>
              <w:jc w:val="right"/>
            </w:pPr>
            <w:r>
              <w:t xml:space="preserve">56</w:t>
            </w:r>
          </w:p>
        </w:tc>
        <w:tc>
          <w:tcPr/>
          <w:p>
            <w:pPr>
              <w:pStyle w:val="Compact"/>
              <w:jc w:val="right"/>
            </w:pPr>
            <w:r>
              <w:t xml:space="preserve">1.53</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52,559</w:t>
            </w:r>
          </w:p>
        </w:tc>
        <w:tc>
          <w:tcPr/>
          <w:p>
            <w:pPr>
              <w:pStyle w:val="Compact"/>
              <w:jc w:val="right"/>
            </w:pPr>
            <w:r>
              <w:t xml:space="preserve">193</w:t>
            </w:r>
          </w:p>
        </w:tc>
        <w:tc>
          <w:tcPr/>
          <w:p>
            <w:pPr>
              <w:pStyle w:val="Compact"/>
              <w:jc w:val="right"/>
            </w:pPr>
            <w:r>
              <w:t xml:space="preserve">5.26</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51,401</w:t>
            </w:r>
          </w:p>
        </w:tc>
        <w:tc>
          <w:tcPr/>
          <w:p>
            <w:pPr>
              <w:pStyle w:val="Compact"/>
              <w:jc w:val="right"/>
            </w:pPr>
            <w:r>
              <w:t xml:space="preserve">189</w:t>
            </w:r>
          </w:p>
        </w:tc>
        <w:tc>
          <w:tcPr/>
          <w:p>
            <w:pPr>
              <w:pStyle w:val="Compact"/>
              <w:jc w:val="right"/>
            </w:pPr>
            <w:r>
              <w:t xml:space="preserve">5.14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31,371</w:t>
            </w:r>
          </w:p>
        </w:tc>
        <w:tc>
          <w:tcPr/>
          <w:p>
            <w:pPr>
              <w:pStyle w:val="Compact"/>
              <w:jc w:val="right"/>
            </w:pPr>
            <w:r>
              <w:t xml:space="preserve">115</w:t>
            </w:r>
          </w:p>
        </w:tc>
        <w:tc>
          <w:tcPr/>
          <w:p>
            <w:pPr>
              <w:pStyle w:val="Compact"/>
              <w:jc w:val="right"/>
            </w:pPr>
            <w:r>
              <w:t xml:space="preserve">3.14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30,945</w:t>
            </w:r>
          </w:p>
        </w:tc>
        <w:tc>
          <w:tcPr/>
          <w:p>
            <w:pPr>
              <w:pStyle w:val="Compact"/>
              <w:jc w:val="right"/>
            </w:pPr>
            <w:r>
              <w:t xml:space="preserve">114</w:t>
            </w:r>
          </w:p>
        </w:tc>
        <w:tc>
          <w:tcPr/>
          <w:p>
            <w:pPr>
              <w:pStyle w:val="Compact"/>
              <w:jc w:val="right"/>
            </w:pPr>
            <w:r>
              <w:t xml:space="preserve">3.09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14,700</w:t>
            </w:r>
          </w:p>
        </w:tc>
        <w:tc>
          <w:tcPr/>
          <w:p>
            <w:pPr>
              <w:pStyle w:val="Compact"/>
              <w:jc w:val="right"/>
            </w:pPr>
            <w:r>
              <w:t xml:space="preserve">54</w:t>
            </w:r>
          </w:p>
        </w:tc>
        <w:tc>
          <w:tcPr/>
          <w:p>
            <w:pPr>
              <w:pStyle w:val="Compact"/>
              <w:jc w:val="right"/>
            </w:pPr>
            <w:r>
              <w:t xml:space="preserve">1.47</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14,408</w:t>
            </w:r>
          </w:p>
        </w:tc>
        <w:tc>
          <w:tcPr/>
          <w:p>
            <w:pPr>
              <w:pStyle w:val="Compact"/>
              <w:jc w:val="right"/>
            </w:pPr>
            <w:r>
              <w:t xml:space="preserve">53</w:t>
            </w:r>
          </w:p>
        </w:tc>
        <w:tc>
          <w:tcPr/>
          <w:p>
            <w:pPr>
              <w:pStyle w:val="Compact"/>
              <w:jc w:val="right"/>
            </w:pPr>
            <w:r>
              <w:t xml:space="preserve">1.44</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50,300</w:t>
            </w:r>
          </w:p>
        </w:tc>
        <w:tc>
          <w:tcPr/>
          <w:p>
            <w:pPr>
              <w:pStyle w:val="Compact"/>
              <w:jc w:val="right"/>
            </w:pPr>
            <w:r>
              <w:t xml:space="preserve">185</w:t>
            </w:r>
          </w:p>
        </w:tc>
        <w:tc>
          <w:tcPr/>
          <w:p>
            <w:pPr>
              <w:pStyle w:val="Compact"/>
              <w:jc w:val="right"/>
            </w:pPr>
            <w:r>
              <w:t xml:space="preserve">5.03</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49,819</w:t>
            </w:r>
          </w:p>
        </w:tc>
        <w:tc>
          <w:tcPr/>
          <w:p>
            <w:pPr>
              <w:pStyle w:val="Compact"/>
              <w:jc w:val="right"/>
            </w:pPr>
            <w:r>
              <w:t xml:space="preserve">183</w:t>
            </w:r>
          </w:p>
        </w:tc>
        <w:tc>
          <w:tcPr/>
          <w:p>
            <w:pPr>
              <w:pStyle w:val="Compact"/>
              <w:jc w:val="right"/>
            </w:pPr>
            <w:r>
              <w:t xml:space="preserve">4.98</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Tilt</w:t>
            </w:r>
          </w:p>
        </w:tc>
        <w:tc>
          <w:tcPr/>
          <w:p>
            <w:pPr>
              <w:pStyle w:val="Compact"/>
              <w:jc w:val="right"/>
            </w:pPr>
            <w:r>
              <w:t xml:space="preserve">Take-up</w:t>
            </w:r>
          </w:p>
        </w:tc>
        <w:tc>
          <w:tcPr/>
          <w:p>
            <w:pPr>
              <w:pStyle w:val="Compact"/>
              <w:jc w:val="right"/>
            </w:pPr>
            <w:r>
              <w:t xml:space="preserve">Expected claim</w:t>
            </w:r>
          </w:p>
        </w:tc>
        <w:tc>
          <w:tcPr/>
          <w:p>
            <w:pPr>
              <w:pStyle w:val="Compact"/>
              <w:jc w:val="right"/>
            </w:pPr>
            <w:r>
              <w:t xml:space="preserve">Selection loading %</w:t>
            </w:r>
          </w:p>
        </w:tc>
        <w:tc>
          <w:tcPr/>
          <w:p>
            <w:pPr>
              <w:pStyle w:val="Compact"/>
              <w:jc w:val="right"/>
            </w:pPr>
            <w:r>
              <w:t xml:space="preserve">Subsidy, ruin &lt; 5%</w:t>
            </w:r>
          </w:p>
        </w:tc>
        <w:tc>
          <w:tcPr/>
          <w:p>
            <w:pPr>
              <w:pStyle w:val="Compact"/>
              <w:jc w:val="right"/>
            </w:pPr>
            <w:r>
              <w:t xml:space="preserve">% of gross premium</w:t>
            </w:r>
          </w:p>
        </w:tc>
      </w:tr>
      <w:tr>
        <w:tc>
          <w:tcPr/>
          <w:p>
            <w:pPr>
              <w:pStyle w:val="Compact"/>
            </w:pPr>
            <w:r>
              <w:t xml:space="preserve">Moderate tilt</w:t>
            </w:r>
          </w:p>
        </w:tc>
        <w:tc>
          <w:tcPr/>
          <w:p>
            <w:pPr>
              <w:pStyle w:val="Compact"/>
              <w:jc w:val="right"/>
            </w:pPr>
            <w:r>
              <w:t xml:space="preserve">10%</w:t>
            </w:r>
          </w:p>
        </w:tc>
        <w:tc>
          <w:tcPr/>
          <w:p>
            <w:pPr>
              <w:pStyle w:val="Compact"/>
              <w:jc w:val="right"/>
            </w:pPr>
            <w:r>
              <w:t xml:space="preserve">35,951</w:t>
            </w:r>
          </w:p>
        </w:tc>
        <w:tc>
          <w:tcPr/>
          <w:p>
            <w:pPr>
              <w:pStyle w:val="Compact"/>
              <w:jc w:val="right"/>
            </w:pPr>
            <w:r>
              <w:t xml:space="preserve">68</w:t>
            </w:r>
          </w:p>
        </w:tc>
        <w:tc>
          <w:tcPr/>
          <w:p>
            <w:pPr>
              <w:pStyle w:val="Compact"/>
              <w:jc w:val="right"/>
            </w:pPr>
            <w:r>
              <w:t xml:space="preserve">32,233</w:t>
            </w:r>
          </w:p>
        </w:tc>
        <w:tc>
          <w:tcPr/>
          <w:p>
            <w:pPr>
              <w:pStyle w:val="Compact"/>
              <w:jc w:val="right"/>
            </w:pPr>
            <w:r>
              <w:t xml:space="preserve">118</w:t>
            </w:r>
          </w:p>
        </w:tc>
      </w:tr>
      <w:tr>
        <w:tc>
          <w:tcPr/>
          <w:p>
            <w:pPr>
              <w:pStyle w:val="Compact"/>
            </w:pPr>
            <w:r>
              <w:t xml:space="preserve">Moderate tilt</w:t>
            </w:r>
          </w:p>
        </w:tc>
        <w:tc>
          <w:tcPr/>
          <w:p>
            <w:pPr>
              <w:pStyle w:val="Compact"/>
              <w:jc w:val="right"/>
            </w:pPr>
            <w:r>
              <w:t xml:space="preserve">25%</w:t>
            </w:r>
          </w:p>
        </w:tc>
        <w:tc>
          <w:tcPr/>
          <w:p>
            <w:pPr>
              <w:pStyle w:val="Compact"/>
              <w:jc w:val="right"/>
            </w:pPr>
            <w:r>
              <w:t xml:space="preserve">35,938</w:t>
            </w:r>
          </w:p>
        </w:tc>
        <w:tc>
          <w:tcPr/>
          <w:p>
            <w:pPr>
              <w:pStyle w:val="Compact"/>
              <w:jc w:val="right"/>
            </w:pPr>
            <w:r>
              <w:t xml:space="preserve">68</w:t>
            </w:r>
          </w:p>
        </w:tc>
        <w:tc>
          <w:tcPr/>
          <w:p>
            <w:pPr>
              <w:pStyle w:val="Compact"/>
              <w:jc w:val="right"/>
            </w:pPr>
            <w:r>
              <w:t xml:space="preserve">32,308</w:t>
            </w:r>
          </w:p>
        </w:tc>
        <w:tc>
          <w:tcPr/>
          <w:p>
            <w:pPr>
              <w:pStyle w:val="Compact"/>
              <w:jc w:val="right"/>
            </w:pPr>
            <w:r>
              <w:t xml:space="preserve">119</w:t>
            </w:r>
          </w:p>
        </w:tc>
      </w:tr>
      <w:tr>
        <w:tc>
          <w:tcPr/>
          <w:p>
            <w:pPr>
              <w:pStyle w:val="Compact"/>
            </w:pPr>
            <w:r>
              <w:t xml:space="preserve">Moderate tilt</w:t>
            </w:r>
          </w:p>
        </w:tc>
        <w:tc>
          <w:tcPr/>
          <w:p>
            <w:pPr>
              <w:pStyle w:val="Compact"/>
              <w:jc w:val="right"/>
            </w:pPr>
            <w:r>
              <w:t xml:space="preserve">50%</w:t>
            </w:r>
          </w:p>
        </w:tc>
        <w:tc>
          <w:tcPr/>
          <w:p>
            <w:pPr>
              <w:pStyle w:val="Compact"/>
              <w:jc w:val="right"/>
            </w:pPr>
            <w:r>
              <w:t xml:space="preserve">31,904</w:t>
            </w:r>
          </w:p>
        </w:tc>
        <w:tc>
          <w:tcPr/>
          <w:p>
            <w:pPr>
              <w:pStyle w:val="Compact"/>
              <w:jc w:val="right"/>
            </w:pPr>
            <w:r>
              <w:t xml:space="preserve">49</w:t>
            </w:r>
          </w:p>
        </w:tc>
        <w:tc>
          <w:tcPr/>
          <w:p>
            <w:pPr>
              <w:pStyle w:val="Compact"/>
              <w:jc w:val="right"/>
            </w:pPr>
            <w:r>
              <w:t xml:space="preserve">27,612</w:t>
            </w:r>
          </w:p>
        </w:tc>
        <w:tc>
          <w:tcPr/>
          <w:p>
            <w:pPr>
              <w:pStyle w:val="Compact"/>
              <w:jc w:val="right"/>
            </w:pPr>
            <w:r>
              <w:t xml:space="preserve">101</w:t>
            </w:r>
          </w:p>
        </w:tc>
      </w:tr>
      <w:tr>
        <w:tc>
          <w:tcPr/>
          <w:p>
            <w:pPr>
              <w:pStyle w:val="Compact"/>
            </w:pPr>
            <w:r>
              <w:t xml:space="preserve">Moderate tilt</w:t>
            </w:r>
          </w:p>
        </w:tc>
        <w:tc>
          <w:tcPr/>
          <w:p>
            <w:pPr>
              <w:pStyle w:val="Compact"/>
              <w:jc w:val="right"/>
            </w:pPr>
            <w:r>
              <w:t xml:space="preserve">75%</w:t>
            </w:r>
          </w:p>
        </w:tc>
        <w:tc>
          <w:tcPr/>
          <w:p>
            <w:pPr>
              <w:pStyle w:val="Compact"/>
              <w:jc w:val="right"/>
            </w:pPr>
            <w:r>
              <w:t xml:space="preserve">26,198</w:t>
            </w:r>
          </w:p>
        </w:tc>
        <w:tc>
          <w:tcPr/>
          <w:p>
            <w:pPr>
              <w:pStyle w:val="Compact"/>
              <w:jc w:val="right"/>
            </w:pPr>
            <w:r>
              <w:t xml:space="preserve">23</w:t>
            </w:r>
          </w:p>
        </w:tc>
        <w:tc>
          <w:tcPr/>
          <w:p>
            <w:pPr>
              <w:pStyle w:val="Compact"/>
              <w:jc w:val="right"/>
            </w:pPr>
            <w:r>
              <w:t xml:space="preserve">20,992</w:t>
            </w:r>
          </w:p>
        </w:tc>
        <w:tc>
          <w:tcPr/>
          <w:p>
            <w:pPr>
              <w:pStyle w:val="Compact"/>
              <w:jc w:val="right"/>
            </w:pPr>
            <w:r>
              <w:t xml:space="preserve">77</w:t>
            </w:r>
          </w:p>
        </w:tc>
      </w:tr>
      <w:tr>
        <w:tc>
          <w:tcPr/>
          <w:p>
            <w:pPr>
              <w:pStyle w:val="Compact"/>
            </w:pPr>
            <w:r>
              <w:t xml:space="preserve">Moderate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r>
        <w:tc>
          <w:tcPr/>
          <w:p>
            <w:pPr>
              <w:pStyle w:val="Compact"/>
            </w:pPr>
            <w:r>
              <w:t xml:space="preserve">Strong tilt</w:t>
            </w:r>
          </w:p>
        </w:tc>
        <w:tc>
          <w:tcPr/>
          <w:p>
            <w:pPr>
              <w:pStyle w:val="Compact"/>
              <w:jc w:val="right"/>
            </w:pPr>
            <w:r>
              <w:t xml:space="preserve">10%</w:t>
            </w:r>
          </w:p>
        </w:tc>
        <w:tc>
          <w:tcPr/>
          <w:p>
            <w:pPr>
              <w:pStyle w:val="Compact"/>
              <w:jc w:val="right"/>
            </w:pPr>
            <w:r>
              <w:t xml:space="preserve">52,716</w:t>
            </w:r>
          </w:p>
        </w:tc>
        <w:tc>
          <w:tcPr/>
          <w:p>
            <w:pPr>
              <w:pStyle w:val="Compact"/>
              <w:jc w:val="right"/>
            </w:pPr>
            <w:r>
              <w:t xml:space="preserve">147</w:t>
            </w:r>
          </w:p>
        </w:tc>
        <w:tc>
          <w:tcPr/>
          <w:p>
            <w:pPr>
              <w:pStyle w:val="Compact"/>
              <w:jc w:val="right"/>
            </w:pPr>
            <w:r>
              <w:t xml:space="preserve">51,486</w:t>
            </w:r>
          </w:p>
        </w:tc>
        <w:tc>
          <w:tcPr/>
          <w:p>
            <w:pPr>
              <w:pStyle w:val="Compact"/>
              <w:jc w:val="right"/>
            </w:pPr>
            <w:r>
              <w:t xml:space="preserve">189</w:t>
            </w:r>
          </w:p>
        </w:tc>
      </w:tr>
      <w:tr>
        <w:tc>
          <w:tcPr/>
          <w:p>
            <w:pPr>
              <w:pStyle w:val="Compact"/>
            </w:pPr>
            <w:r>
              <w:t xml:space="preserve">Strong tilt</w:t>
            </w:r>
          </w:p>
        </w:tc>
        <w:tc>
          <w:tcPr/>
          <w:p>
            <w:pPr>
              <w:pStyle w:val="Compact"/>
              <w:jc w:val="right"/>
            </w:pPr>
            <w:r>
              <w:t xml:space="preserve">25%</w:t>
            </w:r>
          </w:p>
        </w:tc>
        <w:tc>
          <w:tcPr/>
          <w:p>
            <w:pPr>
              <w:pStyle w:val="Compact"/>
              <w:jc w:val="right"/>
            </w:pPr>
            <w:r>
              <w:t xml:space="preserve">45,208</w:t>
            </w:r>
          </w:p>
        </w:tc>
        <w:tc>
          <w:tcPr/>
          <w:p>
            <w:pPr>
              <w:pStyle w:val="Compact"/>
              <w:jc w:val="right"/>
            </w:pPr>
            <w:r>
              <w:t xml:space="preserve">112</w:t>
            </w:r>
          </w:p>
        </w:tc>
        <w:tc>
          <w:tcPr/>
          <w:p>
            <w:pPr>
              <w:pStyle w:val="Compact"/>
              <w:jc w:val="right"/>
            </w:pPr>
            <w:r>
              <w:t xml:space="preserve">42,790</w:t>
            </w:r>
          </w:p>
        </w:tc>
        <w:tc>
          <w:tcPr/>
          <w:p>
            <w:pPr>
              <w:pStyle w:val="Compact"/>
              <w:jc w:val="right"/>
            </w:pPr>
            <w:r>
              <w:t xml:space="preserve">157</w:t>
            </w:r>
          </w:p>
        </w:tc>
      </w:tr>
      <w:tr>
        <w:tc>
          <w:tcPr/>
          <w:p>
            <w:pPr>
              <w:pStyle w:val="Compact"/>
            </w:pPr>
            <w:r>
              <w:t xml:space="preserve">Strong tilt</w:t>
            </w:r>
          </w:p>
        </w:tc>
        <w:tc>
          <w:tcPr/>
          <w:p>
            <w:pPr>
              <w:pStyle w:val="Compact"/>
              <w:jc w:val="right"/>
            </w:pPr>
            <w:r>
              <w:t xml:space="preserve">50%</w:t>
            </w:r>
          </w:p>
        </w:tc>
        <w:tc>
          <w:tcPr/>
          <w:p>
            <w:pPr>
              <w:pStyle w:val="Compact"/>
              <w:jc w:val="right"/>
            </w:pPr>
            <w:r>
              <w:t xml:space="preserve">34,168</w:t>
            </w:r>
          </w:p>
        </w:tc>
        <w:tc>
          <w:tcPr/>
          <w:p>
            <w:pPr>
              <w:pStyle w:val="Compact"/>
              <w:jc w:val="right"/>
            </w:pPr>
            <w:r>
              <w:t xml:space="preserve">60</w:t>
            </w:r>
          </w:p>
        </w:tc>
        <w:tc>
          <w:tcPr/>
          <w:p>
            <w:pPr>
              <w:pStyle w:val="Compact"/>
              <w:jc w:val="right"/>
            </w:pPr>
            <w:r>
              <w:t xml:space="preserve">30,197</w:t>
            </w:r>
          </w:p>
        </w:tc>
        <w:tc>
          <w:tcPr/>
          <w:p>
            <w:pPr>
              <w:pStyle w:val="Compact"/>
              <w:jc w:val="right"/>
            </w:pPr>
            <w:r>
              <w:t xml:space="preserve">111</w:t>
            </w:r>
          </w:p>
        </w:tc>
      </w:tr>
      <w:tr>
        <w:tc>
          <w:tcPr/>
          <w:p>
            <w:pPr>
              <w:pStyle w:val="Compact"/>
            </w:pPr>
            <w:r>
              <w:t xml:space="preserve">Strong tilt</w:t>
            </w:r>
          </w:p>
        </w:tc>
        <w:tc>
          <w:tcPr/>
          <w:p>
            <w:pPr>
              <w:pStyle w:val="Compact"/>
              <w:jc w:val="right"/>
            </w:pPr>
            <w:r>
              <w:t xml:space="preserve">75%</w:t>
            </w:r>
          </w:p>
        </w:tc>
        <w:tc>
          <w:tcPr/>
          <w:p>
            <w:pPr>
              <w:pStyle w:val="Compact"/>
              <w:jc w:val="right"/>
            </w:pPr>
            <w:r>
              <w:t xml:space="preserve">26,540</w:t>
            </w:r>
          </w:p>
        </w:tc>
        <w:tc>
          <w:tcPr/>
          <w:p>
            <w:pPr>
              <w:pStyle w:val="Compact"/>
              <w:jc w:val="right"/>
            </w:pPr>
            <w:r>
              <w:t xml:space="preserve">24</w:t>
            </w:r>
          </w:p>
        </w:tc>
        <w:tc>
          <w:tcPr/>
          <w:p>
            <w:pPr>
              <w:pStyle w:val="Compact"/>
              <w:jc w:val="right"/>
            </w:pPr>
            <w:r>
              <w:t xml:space="preserve">21,351</w:t>
            </w:r>
          </w:p>
        </w:tc>
        <w:tc>
          <w:tcPr/>
          <w:p>
            <w:pPr>
              <w:pStyle w:val="Compact"/>
              <w:jc w:val="right"/>
            </w:pPr>
            <w:r>
              <w:t xml:space="preserve">78</w:t>
            </w:r>
          </w:p>
        </w:tc>
      </w:tr>
      <w:tr>
        <w:tc>
          <w:tcPr/>
          <w:p>
            <w:pPr>
              <w:pStyle w:val="Compact"/>
            </w:pPr>
            <w:r>
              <w:t xml:space="preserve">Strong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bl>
    <w:p>
      <w:pPr>
        <w:pStyle w:val="BodyText"/>
      </w:pPr>
      <w:r>
        <w:rPr>
          <w:b/>
          <w:bCs/>
        </w:rPr>
        <w:t xml:space="preserve">Table 6.</w:t>
      </w:r>
      <w:r>
        <w:t xml:space="preserve"> </w:t>
      </w:r>
      <w:r>
        <w:t xml:space="preserve">Financing designs for a 20,000-life pool: contribution schedules and per-life excess-of-loss reinsurance.</w:t>
      </w:r>
    </w:p>
    <w:p>
      <w:pPr>
        <w:pStyle w:val="BodyText"/>
      </w:pPr>
      <w:r>
        <w:rPr>
          <w:i/>
          <w:iCs/>
        </w:rPr>
        <w:t xml:space="preserve">Minimum subsidy holds the three-year ruin probability below 5%. Reinsurance cedes each person’s annual cost above the retention for a premium of 1.3 times the expected ceded cost.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Contribution schedule</w:t>
            </w:r>
          </w:p>
        </w:tc>
        <w:tc>
          <w:tcPr/>
          <w:p>
            <w:pPr>
              <w:pStyle w:val="Compact"/>
              <w:jc w:val="right"/>
            </w:pPr>
            <w:r>
              <w:t xml:space="preserve">Take-up</w:t>
            </w:r>
          </w:p>
        </w:tc>
        <w:tc>
          <w:tcPr/>
          <w:p>
            <w:pPr>
              <w:pStyle w:val="Compact"/>
              <w:jc w:val="right"/>
            </w:pPr>
            <w:r>
              <w:t xml:space="preserve">Mean contribution</w:t>
            </w:r>
          </w:p>
        </w:tc>
        <w:tc>
          <w:tcPr/>
          <w:p>
            <w:pPr>
              <w:pStyle w:val="Compact"/>
              <w:jc w:val="right"/>
            </w:pPr>
            <w:r>
              <w:t xml:space="preserve">Expected claim</w:t>
            </w:r>
          </w:p>
        </w:tc>
        <w:tc>
          <w:tcPr/>
          <w:p>
            <w:pPr>
              <w:pStyle w:val="Compact"/>
              <w:jc w:val="right"/>
            </w:pPr>
            <w:r>
              <w:t xml:space="preserve">Minimum subsidy</w:t>
            </w:r>
          </w:p>
        </w:tc>
        <w:tc>
          <w:tcPr/>
          <w:p>
            <w:pPr>
              <w:pStyle w:val="Compact"/>
              <w:jc w:val="right"/>
            </w:pPr>
            <w:r>
              <w:t xml:space="preserve">Subsidy share</w:t>
            </w:r>
          </w:p>
        </w:tc>
      </w:tr>
      <w:tr>
        <w:tc>
          <w:tcPr/>
          <w:p>
            <w:pPr>
              <w:pStyle w:val="Compact"/>
            </w:pPr>
            <w:r>
              <w:t xml:space="preserve">Flat (Q1-Q3 ceiling for all)</w:t>
            </w:r>
          </w:p>
        </w:tc>
        <w:tc>
          <w:tcPr/>
          <w:p>
            <w:pPr>
              <w:pStyle w:val="Compact"/>
              <w:jc w:val="right"/>
            </w:pPr>
            <w:r>
              <w:t xml:space="preserve">Random</w:t>
            </w:r>
          </w:p>
        </w:tc>
        <w:tc>
          <w:tcPr/>
          <w:p>
            <w:pPr>
              <w:pStyle w:val="Compact"/>
              <w:jc w:val="right"/>
            </w:pPr>
            <w:r>
              <w:t xml:space="preserve">10,022</w:t>
            </w:r>
          </w:p>
        </w:tc>
        <w:tc>
          <w:tcPr/>
          <w:p>
            <w:pPr>
              <w:pStyle w:val="Compact"/>
              <w:jc w:val="right"/>
            </w:pPr>
            <w:r>
              <w:t xml:space="preserve">21,342</w:t>
            </w:r>
          </w:p>
        </w:tc>
        <w:tc>
          <w:tcPr/>
          <w:p>
            <w:pPr>
              <w:pStyle w:val="Compact"/>
              <w:jc w:val="right"/>
            </w:pPr>
            <w:r>
              <w:t xml:space="preserve">15,339</w:t>
            </w:r>
          </w:p>
        </w:tc>
        <w:tc>
          <w:tcPr/>
          <w:p>
            <w:pPr>
              <w:pStyle w:val="Compact"/>
              <w:jc w:val="right"/>
            </w:pPr>
            <w:r>
              <w:t xml:space="preserve">60%</w:t>
            </w:r>
          </w:p>
        </w:tc>
      </w:tr>
      <w:tr>
        <w:tc>
          <w:tcPr/>
          <w:p>
            <w:pPr>
              <w:pStyle w:val="Compact"/>
            </w:pPr>
            <w:r>
              <w:t xml:space="preserve">Flat (Q1-Q3 ceiling for all)</w:t>
            </w:r>
          </w:p>
        </w:tc>
        <w:tc>
          <w:tcPr/>
          <w:p>
            <w:pPr>
              <w:pStyle w:val="Compact"/>
              <w:jc w:val="right"/>
            </w:pPr>
            <w:r>
              <w:t xml:space="preserve">Strong adverse selection</w:t>
            </w:r>
          </w:p>
        </w:tc>
        <w:tc>
          <w:tcPr/>
          <w:p>
            <w:pPr>
              <w:pStyle w:val="Compact"/>
              <w:jc w:val="right"/>
            </w:pPr>
            <w:r>
              <w:t xml:space="preserve">10,022</w:t>
            </w:r>
          </w:p>
        </w:tc>
        <w:tc>
          <w:tcPr/>
          <w:p>
            <w:pPr>
              <w:pStyle w:val="Compact"/>
              <w:jc w:val="right"/>
            </w:pPr>
            <w:r>
              <w:t xml:space="preserve">52,718</w:t>
            </w:r>
          </w:p>
        </w:tc>
        <w:tc>
          <w:tcPr/>
          <w:p>
            <w:pPr>
              <w:pStyle w:val="Compact"/>
              <w:jc w:val="right"/>
            </w:pPr>
            <w:r>
              <w:t xml:space="preserve">51,401</w:t>
            </w:r>
          </w:p>
        </w:tc>
        <w:tc>
          <w:tcPr/>
          <w:p>
            <w:pPr>
              <w:pStyle w:val="Compact"/>
              <w:jc w:val="right"/>
            </w:pPr>
            <w:r>
              <w:t xml:space="preserve">84%</w:t>
            </w:r>
          </w:p>
        </w:tc>
      </w:tr>
      <w:tr>
        <w:tc>
          <w:tcPr/>
          <w:p>
            <w:pPr>
              <w:pStyle w:val="Compact"/>
            </w:pPr>
            <w:r>
              <w:t xml:space="preserve">Graded (each quintile’s own ceiling)</w:t>
            </w:r>
          </w:p>
        </w:tc>
        <w:tc>
          <w:tcPr/>
          <w:p>
            <w:pPr>
              <w:pStyle w:val="Compact"/>
              <w:jc w:val="right"/>
            </w:pPr>
            <w:r>
              <w:t xml:space="preserve">Random</w:t>
            </w:r>
          </w:p>
        </w:tc>
        <w:tc>
          <w:tcPr/>
          <w:p>
            <w:pPr>
              <w:pStyle w:val="Compact"/>
              <w:jc w:val="right"/>
            </w:pPr>
            <w:r>
              <w:t xml:space="preserve">17,986</w:t>
            </w:r>
          </w:p>
        </w:tc>
        <w:tc>
          <w:tcPr/>
          <w:p>
            <w:pPr>
              <w:pStyle w:val="Compact"/>
              <w:jc w:val="right"/>
            </w:pPr>
            <w:r>
              <w:t xml:space="preserve">21,342</w:t>
            </w:r>
          </w:p>
        </w:tc>
        <w:tc>
          <w:tcPr/>
          <w:p>
            <w:pPr>
              <w:pStyle w:val="Compact"/>
              <w:jc w:val="right"/>
            </w:pPr>
            <w:r>
              <w:t xml:space="preserve">7,375</w:t>
            </w:r>
          </w:p>
        </w:tc>
        <w:tc>
          <w:tcPr/>
          <w:p>
            <w:pPr>
              <w:pStyle w:val="Compact"/>
              <w:jc w:val="right"/>
            </w:pPr>
            <w:r>
              <w:t xml:space="preserve">29%</w:t>
            </w:r>
          </w:p>
        </w:tc>
      </w:tr>
      <w:tr>
        <w:tc>
          <w:tcPr/>
          <w:p>
            <w:pPr>
              <w:pStyle w:val="Compact"/>
            </w:pPr>
            <w:r>
              <w:t xml:space="preserve">Graded (each quintile’s own ceiling)</w:t>
            </w:r>
          </w:p>
        </w:tc>
        <w:tc>
          <w:tcPr/>
          <w:p>
            <w:pPr>
              <w:pStyle w:val="Compact"/>
              <w:jc w:val="right"/>
            </w:pPr>
            <w:r>
              <w:t xml:space="preserve">Strong adverse selection</w:t>
            </w:r>
          </w:p>
        </w:tc>
        <w:tc>
          <w:tcPr/>
          <w:p>
            <w:pPr>
              <w:pStyle w:val="Compact"/>
              <w:jc w:val="right"/>
            </w:pPr>
            <w:r>
              <w:t xml:space="preserve">26,055</w:t>
            </w:r>
          </w:p>
        </w:tc>
        <w:tc>
          <w:tcPr/>
          <w:p>
            <w:pPr>
              <w:pStyle w:val="Compact"/>
              <w:jc w:val="right"/>
            </w:pPr>
            <w:r>
              <w:t xml:space="preserve">52,718</w:t>
            </w:r>
          </w:p>
        </w:tc>
        <w:tc>
          <w:tcPr/>
          <w:p>
            <w:pPr>
              <w:pStyle w:val="Compact"/>
              <w:jc w:val="right"/>
            </w:pPr>
            <w:r>
              <w:t xml:space="preserve">35,369</w:t>
            </w:r>
          </w:p>
        </w:tc>
        <w:tc>
          <w:tcPr/>
          <w:p>
            <w:pPr>
              <w:pStyle w:val="Compact"/>
              <w:jc w:val="right"/>
            </w:pPr>
            <w:r>
              <w:t xml:space="preserve">58%</w:t>
            </w:r>
          </w:p>
        </w:tc>
      </w:tr>
      <w:tr>
        <w:tc>
          <w:tcPr/>
          <w:p>
            <w:pPr>
              <w:pStyle w:val="Compact"/>
            </w:pPr>
            <w:r>
              <w:t xml:space="preserve">Q1-Q2 exempt, Q3-Q5 graded</w:t>
            </w:r>
          </w:p>
        </w:tc>
        <w:tc>
          <w:tcPr/>
          <w:p>
            <w:pPr>
              <w:pStyle w:val="Compact"/>
              <w:jc w:val="right"/>
            </w:pPr>
            <w:r>
              <w:t xml:space="preserve">Random</w:t>
            </w:r>
          </w:p>
        </w:tc>
        <w:tc>
          <w:tcPr/>
          <w:p>
            <w:pPr>
              <w:pStyle w:val="Compact"/>
              <w:jc w:val="right"/>
            </w:pPr>
            <w:r>
              <w:t xml:space="preserve">14,529</w:t>
            </w:r>
          </w:p>
        </w:tc>
        <w:tc>
          <w:tcPr/>
          <w:p>
            <w:pPr>
              <w:pStyle w:val="Compact"/>
              <w:jc w:val="right"/>
            </w:pPr>
            <w:r>
              <w:t xml:space="preserve">21,342</w:t>
            </w:r>
          </w:p>
        </w:tc>
        <w:tc>
          <w:tcPr/>
          <w:p>
            <w:pPr>
              <w:pStyle w:val="Compact"/>
              <w:jc w:val="right"/>
            </w:pPr>
            <w:r>
              <w:t xml:space="preserve">10,831</w:t>
            </w:r>
          </w:p>
        </w:tc>
        <w:tc>
          <w:tcPr/>
          <w:p>
            <w:pPr>
              <w:pStyle w:val="Compact"/>
              <w:jc w:val="right"/>
            </w:pPr>
            <w:r>
              <w:t xml:space="preserve">43%</w:t>
            </w:r>
          </w:p>
        </w:tc>
      </w:tr>
      <w:tr>
        <w:tc>
          <w:tcPr/>
          <w:p>
            <w:pPr>
              <w:pStyle w:val="Compact"/>
            </w:pPr>
            <w:r>
              <w:t xml:space="preserve">Q1-Q2 exempt, Q3-Q5 graded</w:t>
            </w:r>
          </w:p>
        </w:tc>
        <w:tc>
          <w:tcPr/>
          <w:p>
            <w:pPr>
              <w:pStyle w:val="Compact"/>
              <w:jc w:val="right"/>
            </w:pPr>
            <w:r>
              <w:t xml:space="preserve">Strong adverse selection</w:t>
            </w:r>
          </w:p>
        </w:tc>
        <w:tc>
          <w:tcPr/>
          <w:p>
            <w:pPr>
              <w:pStyle w:val="Compact"/>
              <w:jc w:val="right"/>
            </w:pPr>
            <w:r>
              <w:t xml:space="preserve">24,108</w:t>
            </w:r>
          </w:p>
        </w:tc>
        <w:tc>
          <w:tcPr/>
          <w:p>
            <w:pPr>
              <w:pStyle w:val="Compact"/>
              <w:jc w:val="right"/>
            </w:pPr>
            <w:r>
              <w:t xml:space="preserve">52,718</w:t>
            </w:r>
          </w:p>
        </w:tc>
        <w:tc>
          <w:tcPr/>
          <w:p>
            <w:pPr>
              <w:pStyle w:val="Compact"/>
              <w:jc w:val="right"/>
            </w:pPr>
            <w:r>
              <w:t xml:space="preserve">37,315</w:t>
            </w:r>
          </w:p>
        </w:tc>
        <w:tc>
          <w:tcPr/>
          <w:p>
            <w:pPr>
              <w:pStyle w:val="Compact"/>
              <w:jc w:val="right"/>
            </w:pPr>
            <w:r>
              <w:t xml:space="preserve">61%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Take-up</w:t>
            </w:r>
          </w:p>
        </w:tc>
        <w:tc>
          <w:tcPr/>
          <w:p>
            <w:pPr>
              <w:pStyle w:val="Compact"/>
              <w:jc w:val="right"/>
            </w:pPr>
            <w:r>
              <w:t xml:space="preserve">Retention</w:t>
            </w:r>
          </w:p>
        </w:tc>
        <w:tc>
          <w:tcPr/>
          <w:p>
            <w:pPr>
              <w:pStyle w:val="Compact"/>
              <w:jc w:val="right"/>
            </w:pPr>
            <w:r>
              <w:t xml:space="preserve">Reinsurance premium</w:t>
            </w:r>
          </w:p>
        </w:tc>
        <w:tc>
          <w:tcPr/>
          <w:p>
            <w:pPr>
              <w:pStyle w:val="Compact"/>
              <w:jc w:val="right"/>
            </w:pPr>
            <w:r>
              <w:t xml:space="preserve">SD of claims per enrollee</w:t>
            </w:r>
          </w:p>
        </w:tc>
        <w:tc>
          <w:tcPr/>
          <w:p>
            <w:pPr>
              <w:pStyle w:val="Compact"/>
              <w:jc w:val="right"/>
            </w:pPr>
            <w:r>
              <w:t xml:space="preserve">p99 of claims per enrollee</w:t>
            </w:r>
          </w:p>
        </w:tc>
        <w:tc>
          <w:tcPr/>
          <w:p>
            <w:pPr>
              <w:pStyle w:val="Compact"/>
              <w:jc w:val="right"/>
            </w:pPr>
            <w:r>
              <w:t xml:space="preserve">Minimum subsidy</w:t>
            </w:r>
          </w:p>
        </w:tc>
      </w:tr>
      <w:tr>
        <w:tc>
          <w:tcPr/>
          <w:p>
            <w:pPr>
              <w:pStyle w:val="Compact"/>
            </w:pPr>
            <w:r>
              <w:t xml:space="preserve">Random</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850</w:t>
            </w:r>
          </w:p>
        </w:tc>
        <w:tc>
          <w:tcPr/>
          <w:p>
            <w:pPr>
              <w:pStyle w:val="Compact"/>
              <w:jc w:val="right"/>
            </w:pPr>
            <w:r>
              <w:t xml:space="preserve">23,426</w:t>
            </w:r>
          </w:p>
        </w:tc>
        <w:tc>
          <w:tcPr/>
          <w:p>
            <w:pPr>
              <w:pStyle w:val="Compact"/>
              <w:jc w:val="right"/>
            </w:pPr>
            <w:r>
              <w:t xml:space="preserve">15,334</w:t>
            </w:r>
          </w:p>
        </w:tc>
      </w:tr>
      <w:tr>
        <w:tc>
          <w:tcPr/>
          <w:p>
            <w:pPr>
              <w:pStyle w:val="Compact"/>
            </w:pPr>
            <w:r>
              <w:t xml:space="preserve">Random</w:t>
            </w:r>
          </w:p>
        </w:tc>
        <w:tc>
          <w:tcPr/>
          <w:p>
            <w:pPr>
              <w:pStyle w:val="Compact"/>
              <w:jc w:val="right"/>
            </w:pPr>
            <w:r>
              <w:t xml:space="preserve">250,000</w:t>
            </w:r>
          </w:p>
        </w:tc>
        <w:tc>
          <w:tcPr/>
          <w:p>
            <w:pPr>
              <w:pStyle w:val="Compact"/>
              <w:jc w:val="right"/>
            </w:pPr>
            <w:r>
              <w:t xml:space="preserve">8,260</w:t>
            </w:r>
          </w:p>
        </w:tc>
        <w:tc>
          <w:tcPr/>
          <w:p>
            <w:pPr>
              <w:pStyle w:val="Compact"/>
              <w:jc w:val="right"/>
            </w:pPr>
            <w:r>
              <w:t xml:space="preserve">315</w:t>
            </w:r>
          </w:p>
        </w:tc>
        <w:tc>
          <w:tcPr/>
          <w:p>
            <w:pPr>
              <w:pStyle w:val="Compact"/>
              <w:jc w:val="right"/>
            </w:pPr>
            <w:r>
              <w:t xml:space="preserve">23,950</w:t>
            </w:r>
          </w:p>
        </w:tc>
        <w:tc>
          <w:tcPr/>
          <w:p>
            <w:pPr>
              <w:pStyle w:val="Compact"/>
              <w:jc w:val="right"/>
            </w:pPr>
            <w:r>
              <w:t xml:space="preserve">16,399</w:t>
            </w:r>
          </w:p>
        </w:tc>
      </w:tr>
      <w:tr>
        <w:tc>
          <w:tcPr/>
          <w:p>
            <w:pPr>
              <w:pStyle w:val="Compact"/>
            </w:pPr>
            <w:r>
              <w:t xml:space="preserve">Random</w:t>
            </w:r>
          </w:p>
        </w:tc>
        <w:tc>
          <w:tcPr/>
          <w:p>
            <w:pPr>
              <w:pStyle w:val="Compact"/>
              <w:jc w:val="right"/>
            </w:pPr>
            <w:r>
              <w:t xml:space="preserve">500,000</w:t>
            </w:r>
          </w:p>
        </w:tc>
        <w:tc>
          <w:tcPr/>
          <w:p>
            <w:pPr>
              <w:pStyle w:val="Compact"/>
              <w:jc w:val="right"/>
            </w:pPr>
            <w:r>
              <w:t xml:space="preserve">4,812</w:t>
            </w:r>
          </w:p>
        </w:tc>
        <w:tc>
          <w:tcPr/>
          <w:p>
            <w:pPr>
              <w:pStyle w:val="Compact"/>
              <w:jc w:val="right"/>
            </w:pPr>
            <w:r>
              <w:t xml:space="preserve">427</w:t>
            </w:r>
          </w:p>
        </w:tc>
        <w:tc>
          <w:tcPr/>
          <w:p>
            <w:pPr>
              <w:pStyle w:val="Compact"/>
              <w:jc w:val="right"/>
            </w:pPr>
            <w:r>
              <w:t xml:space="preserve">23,468</w:t>
            </w:r>
          </w:p>
        </w:tc>
        <w:tc>
          <w:tcPr/>
          <w:p>
            <w:pPr>
              <w:pStyle w:val="Compact"/>
              <w:jc w:val="right"/>
            </w:pPr>
            <w:r>
              <w:t xml:space="preserve">15,726</w:t>
            </w:r>
          </w:p>
        </w:tc>
      </w:tr>
      <w:tr>
        <w:tc>
          <w:tcPr/>
          <w:p>
            <w:pPr>
              <w:pStyle w:val="Compact"/>
            </w:pPr>
            <w:r>
              <w:t xml:space="preserve">Random</w:t>
            </w:r>
          </w:p>
        </w:tc>
        <w:tc>
          <w:tcPr/>
          <w:p>
            <w:pPr>
              <w:pStyle w:val="Compact"/>
              <w:jc w:val="right"/>
            </w:pPr>
            <w:r>
              <w:t xml:space="preserve">1,000,000</w:t>
            </w:r>
          </w:p>
        </w:tc>
        <w:tc>
          <w:tcPr/>
          <w:p>
            <w:pPr>
              <w:pStyle w:val="Compact"/>
              <w:jc w:val="right"/>
            </w:pPr>
            <w:r>
              <w:t xml:space="preserve">2,654</w:t>
            </w:r>
          </w:p>
        </w:tc>
        <w:tc>
          <w:tcPr/>
          <w:p>
            <w:pPr>
              <w:pStyle w:val="Compact"/>
              <w:jc w:val="right"/>
            </w:pPr>
            <w:r>
              <w:t xml:space="preserve">554</w:t>
            </w:r>
          </w:p>
        </w:tc>
        <w:tc>
          <w:tcPr/>
          <w:p>
            <w:pPr>
              <w:pStyle w:val="Compact"/>
              <w:jc w:val="right"/>
            </w:pPr>
            <w:r>
              <w:t xml:space="preserve">23,240</w:t>
            </w:r>
          </w:p>
        </w:tc>
        <w:tc>
          <w:tcPr/>
          <w:p>
            <w:pPr>
              <w:pStyle w:val="Compact"/>
              <w:jc w:val="right"/>
            </w:pPr>
            <w:r>
              <w:t xml:space="preserve">15,403</w:t>
            </w:r>
          </w:p>
        </w:tc>
      </w:tr>
      <w:tr>
        <w:tc>
          <w:tcPr/>
          <w:p>
            <w:pPr>
              <w:pStyle w:val="Compact"/>
            </w:pPr>
            <w:r>
              <w:t xml:space="preserve">Strong adverse selection</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1,477</w:t>
            </w:r>
          </w:p>
        </w:tc>
        <w:tc>
          <w:tcPr/>
          <w:p>
            <w:pPr>
              <w:pStyle w:val="Compact"/>
              <w:jc w:val="right"/>
            </w:pPr>
            <w:r>
              <w:t xml:space="preserve">56,201</w:t>
            </w:r>
          </w:p>
        </w:tc>
        <w:tc>
          <w:tcPr/>
          <w:p>
            <w:pPr>
              <w:pStyle w:val="Compact"/>
              <w:jc w:val="right"/>
            </w:pPr>
            <w:r>
              <w:t xml:space="preserve">51,388</w:t>
            </w:r>
          </w:p>
        </w:tc>
      </w:tr>
      <w:tr>
        <w:tc>
          <w:tcPr/>
          <w:p>
            <w:pPr>
              <w:pStyle w:val="Compact"/>
            </w:pPr>
            <w:r>
              <w:t xml:space="preserve">Strong adverse selection</w:t>
            </w:r>
          </w:p>
        </w:tc>
        <w:tc>
          <w:tcPr/>
          <w:p>
            <w:pPr>
              <w:pStyle w:val="Compact"/>
              <w:jc w:val="right"/>
            </w:pPr>
            <w:r>
              <w:t xml:space="preserve">250,000</w:t>
            </w:r>
          </w:p>
        </w:tc>
        <w:tc>
          <w:tcPr/>
          <w:p>
            <w:pPr>
              <w:pStyle w:val="Compact"/>
              <w:jc w:val="right"/>
            </w:pPr>
            <w:r>
              <w:t xml:space="preserve">28,937</w:t>
            </w:r>
          </w:p>
        </w:tc>
        <w:tc>
          <w:tcPr/>
          <w:p>
            <w:pPr>
              <w:pStyle w:val="Compact"/>
              <w:jc w:val="right"/>
            </w:pPr>
            <w:r>
              <w:t xml:space="preserve">475</w:t>
            </w:r>
          </w:p>
        </w:tc>
        <w:tc>
          <w:tcPr/>
          <w:p>
            <w:pPr>
              <w:pStyle w:val="Compact"/>
              <w:jc w:val="right"/>
            </w:pPr>
            <w:r>
              <w:t xml:space="preserve">60,494</w:t>
            </w:r>
          </w:p>
        </w:tc>
        <w:tc>
          <w:tcPr/>
          <w:p>
            <w:pPr>
              <w:pStyle w:val="Compact"/>
              <w:jc w:val="right"/>
            </w:pPr>
            <w:r>
              <w:t xml:space="preserve">56,853</w:t>
            </w:r>
          </w:p>
        </w:tc>
      </w:tr>
      <w:tr>
        <w:tc>
          <w:tcPr/>
          <w:p>
            <w:pPr>
              <w:pStyle w:val="Compact"/>
            </w:pPr>
            <w:r>
              <w:t xml:space="preserve">Strong adverse selection</w:t>
            </w:r>
          </w:p>
        </w:tc>
        <w:tc>
          <w:tcPr/>
          <w:p>
            <w:pPr>
              <w:pStyle w:val="Compact"/>
              <w:jc w:val="right"/>
            </w:pPr>
            <w:r>
              <w:t xml:space="preserve">500,000</w:t>
            </w:r>
          </w:p>
        </w:tc>
        <w:tc>
          <w:tcPr/>
          <w:p>
            <w:pPr>
              <w:pStyle w:val="Compact"/>
              <w:jc w:val="right"/>
            </w:pPr>
            <w:r>
              <w:t xml:space="preserve">17,322</w:t>
            </w:r>
          </w:p>
        </w:tc>
        <w:tc>
          <w:tcPr/>
          <w:p>
            <w:pPr>
              <w:pStyle w:val="Compact"/>
              <w:jc w:val="right"/>
            </w:pPr>
            <w:r>
              <w:t xml:space="preserve">717</w:t>
            </w:r>
          </w:p>
        </w:tc>
        <w:tc>
          <w:tcPr/>
          <w:p>
            <w:pPr>
              <w:pStyle w:val="Compact"/>
              <w:jc w:val="right"/>
            </w:pPr>
            <w:r>
              <w:t xml:space="preserve">58,369</w:t>
            </w:r>
          </w:p>
        </w:tc>
        <w:tc>
          <w:tcPr/>
          <w:p>
            <w:pPr>
              <w:pStyle w:val="Compact"/>
              <w:jc w:val="right"/>
            </w:pPr>
            <w:r>
              <w:t xml:space="preserve">54,312</w:t>
            </w:r>
          </w:p>
        </w:tc>
      </w:tr>
      <w:tr>
        <w:tc>
          <w:tcPr/>
          <w:p>
            <w:pPr>
              <w:pStyle w:val="Compact"/>
            </w:pPr>
            <w:r>
              <w:t xml:space="preserve">Strong adverse selection</w:t>
            </w:r>
          </w:p>
        </w:tc>
        <w:tc>
          <w:tcPr/>
          <w:p>
            <w:pPr>
              <w:pStyle w:val="Compact"/>
              <w:jc w:val="right"/>
            </w:pPr>
            <w:r>
              <w:t xml:space="preserve">1,000,000</w:t>
            </w:r>
          </w:p>
        </w:tc>
        <w:tc>
          <w:tcPr/>
          <w:p>
            <w:pPr>
              <w:pStyle w:val="Compact"/>
              <w:jc w:val="right"/>
            </w:pPr>
            <w:r>
              <w:t xml:space="preserve">8,671</w:t>
            </w:r>
          </w:p>
        </w:tc>
        <w:tc>
          <w:tcPr/>
          <w:p>
            <w:pPr>
              <w:pStyle w:val="Compact"/>
              <w:jc w:val="right"/>
            </w:pPr>
            <w:r>
              <w:t xml:space="preserve">981</w:t>
            </w:r>
          </w:p>
        </w:tc>
        <w:tc>
          <w:tcPr/>
          <w:p>
            <w:pPr>
              <w:pStyle w:val="Compact"/>
              <w:jc w:val="right"/>
            </w:pPr>
            <w:r>
              <w:t xml:space="preserve">57,091</w:t>
            </w:r>
          </w:p>
        </w:tc>
        <w:tc>
          <w:tcPr/>
          <w:p>
            <w:pPr>
              <w:pStyle w:val="Compact"/>
              <w:jc w:val="right"/>
            </w:pPr>
            <w:r>
              <w:t xml:space="preserve">52,585</w:t>
            </w:r>
          </w:p>
        </w:tc>
      </w:tr>
    </w:tbl>
    <w:p>
      <w:pPr>
        <w:pStyle w:val="BodyText"/>
      </w:pPr>
      <w:r>
        <w:rPr>
          <w:b/>
          <w:bCs/>
        </w:rPr>
        <w:t xml:space="preserve">Table 7.</w:t>
      </w:r>
      <w:r>
        <w:t xml:space="preserve"> </w:t>
      </w:r>
      <w:r>
        <w:t xml:space="preserve">Change in catastrophic expenditure under coverage scenarios.</w:t>
      </w:r>
    </w:p>
    <w:p>
      <w:pPr>
        <w:pStyle w:val="BodyText"/>
      </w:pPr>
      <w:r>
        <w:rPr>
          <w:i/>
          <w:iCs/>
        </w:rPr>
        <w:t xml:space="preserve">Paired design-based test of the change on the same households. A negative reduction means catastrophic expenditure rises. Levels for every scenario and quintile are in Tables A9 and A10.</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Reduction pp</w:t>
            </w:r>
          </w:p>
        </w:tc>
        <w:tc>
          <w:tcPr/>
          <w:p>
            <w:pPr>
              <w:pStyle w:val="Compact"/>
              <w:jc w:val="right"/>
            </w:pPr>
            <w:r>
              <w:t xml:space="preserve">SE</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9.3</w:t>
            </w:r>
          </w:p>
        </w:tc>
        <w:tc>
          <w:tcPr/>
          <w:p>
            <w:pPr>
              <w:pStyle w:val="Compact"/>
              <w:jc w:val="right"/>
            </w:pPr>
            <w:r>
              <w:t xml:space="preserve">4.8</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4.4</w:t>
            </w:r>
          </w:p>
        </w:tc>
        <w:tc>
          <w:tcPr/>
          <w:p>
            <w:pPr>
              <w:pStyle w:val="Compact"/>
              <w:jc w:val="right"/>
            </w:pPr>
            <w:r>
              <w:t xml:space="preserve">3.5</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13.2</w:t>
            </w:r>
          </w:p>
        </w:tc>
        <w:tc>
          <w:tcPr/>
          <w:p>
            <w:pPr>
              <w:pStyle w:val="Compact"/>
              <w:jc w:val="right"/>
            </w:pPr>
            <w:r>
              <w:t xml:space="preserve">0.9</w:t>
            </w:r>
          </w:p>
        </w:tc>
        <w:tc>
          <w:tcPr/>
          <w:p>
            <w:pPr>
              <w:pStyle w:val="Compact"/>
              <w:jc w:val="right"/>
            </w:pPr>
            <w:r>
              <w:t xml:space="preserve">0.5</w:t>
            </w:r>
          </w:p>
        </w:tc>
        <w:tc>
          <w:tcPr/>
          <w:p>
            <w:pPr>
              <w:pStyle w:val="Compact"/>
              <w:jc w:val="right"/>
            </w:pPr>
            <w:r>
              <w:t xml:space="preserve">0.086</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0.731</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4.1</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1.5</w:t>
            </w:r>
          </w:p>
        </w:tc>
        <w:tc>
          <w:tcPr/>
          <w:p>
            <w:pPr>
              <w:pStyle w:val="Compact"/>
              <w:jc w:val="right"/>
            </w:pPr>
            <w:r>
              <w:t xml:space="preserve">6.4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11.5</w:t>
            </w:r>
          </w:p>
        </w:tc>
        <w:tc>
          <w:tcPr/>
          <w:p>
            <w:pPr>
              <w:pStyle w:val="Compact"/>
              <w:jc w:val="right"/>
            </w:pPr>
            <w:r>
              <w:t xml:space="preserve">2.6</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8.4</w:t>
            </w:r>
          </w:p>
        </w:tc>
        <w:tc>
          <w:tcPr/>
          <w:p>
            <w:pPr>
              <w:pStyle w:val="Compact"/>
              <w:jc w:val="right"/>
            </w:pPr>
            <w:r>
              <w:t xml:space="preserve">-0.5</w:t>
            </w:r>
          </w:p>
        </w:tc>
        <w:tc>
          <w:tcPr/>
          <w:p>
            <w:pPr>
              <w:pStyle w:val="Compact"/>
              <w:jc w:val="right"/>
            </w:pPr>
            <w:r>
              <w:t xml:space="preserve">0.7</w:t>
            </w:r>
          </w:p>
        </w:tc>
        <w:tc>
          <w:tcPr/>
          <w:p>
            <w:pPr>
              <w:pStyle w:val="Compact"/>
              <w:jc w:val="right"/>
            </w:pPr>
            <w:r>
              <w:t xml:space="preserve">0.468</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4.2</w:t>
            </w:r>
          </w:p>
        </w:tc>
        <w:tc>
          <w:tcPr/>
          <w:p>
            <w:pPr>
              <w:pStyle w:val="Compact"/>
              <w:jc w:val="right"/>
            </w:pPr>
            <w:r>
              <w:t xml:space="preserve">9.9</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1.4</w:t>
            </w:r>
          </w:p>
        </w:tc>
        <w:tc>
          <w:tcPr/>
          <w:p>
            <w:pPr>
              <w:pStyle w:val="Compact"/>
              <w:jc w:val="right"/>
            </w:pPr>
            <w:r>
              <w:t xml:space="preserve">6.5</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5.7</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4.3</w:t>
            </w:r>
          </w:p>
        </w:tc>
        <w:tc>
          <w:tcPr/>
          <w:p>
            <w:pPr>
              <w:pStyle w:val="Compact"/>
              <w:jc w:val="right"/>
            </w:pPr>
            <w:r>
              <w:t xml:space="preserve">9.8</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1.6</w:t>
            </w:r>
          </w:p>
        </w:tc>
        <w:tc>
          <w:tcPr/>
          <w:p>
            <w:pPr>
              <w:pStyle w:val="Compact"/>
              <w:jc w:val="right"/>
            </w:pPr>
            <w:r>
              <w:t xml:space="preserve">6.3</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7.6</w:t>
            </w:r>
          </w:p>
        </w:tc>
        <w:tc>
          <w:tcPr/>
          <w:p>
            <w:pPr>
              <w:pStyle w:val="Compact"/>
              <w:jc w:val="right"/>
            </w:pPr>
            <w:r>
              <w:t xml:space="preserve">6.6</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2.5</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0.5</w:t>
            </w:r>
          </w:p>
        </w:tc>
        <w:tc>
          <w:tcPr/>
          <w:p>
            <w:pPr>
              <w:pStyle w:val="Compact"/>
              <w:jc w:val="right"/>
            </w:pPr>
            <w:r>
              <w:t xml:space="preserve">7.4</w:t>
            </w:r>
          </w:p>
        </w:tc>
        <w:tc>
          <w:tcPr/>
          <w:p>
            <w:pPr>
              <w:pStyle w:val="Compact"/>
              <w:jc w:val="right"/>
            </w:pPr>
            <w:r>
              <w:t xml:space="preserve">0.6</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7.9</w:t>
            </w:r>
          </w:p>
        </w:tc>
        <w:tc>
          <w:tcPr/>
          <w:p>
            <w:pPr>
              <w:pStyle w:val="Compact"/>
              <w:jc w:val="right"/>
            </w:pPr>
            <w:r>
              <w:t xml:space="preserve">-0.0</w:t>
            </w:r>
          </w:p>
        </w:tc>
        <w:tc>
          <w:tcPr/>
          <w:p>
            <w:pPr>
              <w:pStyle w:val="Compact"/>
              <w:jc w:val="right"/>
            </w:pPr>
            <w:r>
              <w:t xml:space="preserve">0.9</w:t>
            </w:r>
          </w:p>
        </w:tc>
        <w:tc>
          <w:tcPr/>
          <w:p>
            <w:pPr>
              <w:pStyle w:val="Compact"/>
              <w:jc w:val="right"/>
            </w:pPr>
            <w:r>
              <w:t xml:space="preserve">0.979</w:t>
            </w:r>
          </w:p>
        </w:tc>
      </w:tr>
    </w:tbl>
    <w:p>
      <w:pPr>
        <w:pStyle w:val="BodyText"/>
      </w:pPr>
      <w:r>
        <w:rPr>
          <w:b/>
          <w:bCs/>
        </w:rPr>
        <w:t xml:space="preserve">Table 8.</w:t>
      </w:r>
      <w:r>
        <w:t xml:space="preserve"> </w:t>
      </w:r>
      <w:r>
        <w:t xml:space="preserve">Recall-treatment bounds and design-based bootstrap intervals.</w:t>
      </w:r>
    </w:p>
    <w:p>
      <w:pPr>
        <w:pStyle w:val="BodyText"/>
      </w:pPr>
      <w:r>
        <w:rPr>
          <w:i/>
          <w:iCs/>
        </w:rPr>
        <w:t xml:space="preserve">Upper panel: the 4-week outpatient window scaled to a year (full within-year persistence) against annual cost drawn as independent 4-week windows from the fitted frequency model (no persistence), and two smaller annualizers. Subsidies are for a 20,000-life pool over three years, ruin below 5%. Lower panel: Rao-Wu rescaled bootstrap over enumeration areas within strata, 200 replicates, percentile intervals.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Recall treatment</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x13, window scaled to a year (headline, full persistence)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x13, independent 4-week windows (no persistence)</w:t>
            </w:r>
          </w:p>
        </w:tc>
        <w:tc>
          <w:tcPr/>
          <w:p>
            <w:pPr>
              <w:pStyle w:val="Compact"/>
              <w:jc w:val="right"/>
            </w:pPr>
            <w:r>
              <w:t xml:space="preserve">6.7</w:t>
            </w:r>
          </w:p>
        </w:tc>
        <w:tc>
          <w:tcPr/>
          <w:p>
            <w:pPr>
              <w:pStyle w:val="Compact"/>
              <w:jc w:val="right"/>
            </w:pPr>
            <w:r>
              <w:t xml:space="preserve">3.3</w:t>
            </w:r>
          </w:p>
        </w:tc>
        <w:tc>
          <w:tcPr/>
          <w:p>
            <w:pPr>
              <w:pStyle w:val="Compact"/>
              <w:jc w:val="right"/>
            </w:pPr>
            <w:r>
              <w:t xml:space="preserve">21,793</w:t>
            </w:r>
          </w:p>
        </w:tc>
        <w:tc>
          <w:tcPr/>
          <w:p>
            <w:pPr>
              <w:pStyle w:val="Compact"/>
              <w:jc w:val="right"/>
            </w:pPr>
            <w:r>
              <w:t xml:space="preserve">27,612</w:t>
            </w:r>
          </w:p>
        </w:tc>
        <w:tc>
          <w:tcPr/>
          <w:p>
            <w:pPr>
              <w:pStyle w:val="Compact"/>
              <w:jc w:val="right"/>
            </w:pPr>
            <w:r>
              <w:t xml:space="preserve">13,922</w:t>
            </w:r>
          </w:p>
        </w:tc>
        <w:tc>
          <w:tcPr/>
          <w:p>
            <w:pPr>
              <w:pStyle w:val="Compact"/>
              <w:jc w:val="right"/>
            </w:pPr>
            <w:r>
              <w:t xml:space="preserve">38,091</w:t>
            </w:r>
          </w:p>
        </w:tc>
      </w:tr>
      <w:tr>
        <w:tc>
          <w:tcPr/>
          <w:p>
            <w:pPr>
              <w:pStyle w:val="Compact"/>
            </w:pPr>
            <w:r>
              <w:t xml:space="preserve">x12, window scaled</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x10, window scaled</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10,076</w:t>
            </w:r>
          </w:p>
        </w:tc>
        <w:tc>
          <w:tcPr/>
          <w:p>
            <w:pPr>
              <w:pStyle w:val="Compact"/>
              <w:jc w:val="right"/>
            </w:pPr>
            <w:r>
              <w:t xml:space="preserve">38,788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Quantity</w:t>
            </w:r>
          </w:p>
        </w:tc>
        <w:tc>
          <w:tcPr/>
          <w:p>
            <w:pPr>
              <w:pStyle w:val="Compact"/>
              <w:jc w:val="right"/>
            </w:pPr>
            <w:r>
              <w:t xml:space="preserve">Point estimate</w:t>
            </w:r>
          </w:p>
        </w:tc>
        <w:tc>
          <w:tcPr/>
          <w:p>
            <w:pPr>
              <w:pStyle w:val="Compact"/>
              <w:jc w:val="right"/>
            </w:pPr>
            <w:r>
              <w:t xml:space="preserve">Bootstrap SE</w:t>
            </w:r>
          </w:p>
        </w:tc>
        <w:tc>
          <w:tcPr/>
          <w:p>
            <w:pPr>
              <w:pStyle w:val="Compact"/>
              <w:jc w:val="right"/>
            </w:pPr>
            <w:r>
              <w:t xml:space="preserve">2.5%</w:t>
            </w:r>
          </w:p>
        </w:tc>
        <w:tc>
          <w:tcPr/>
          <w:p>
            <w:pPr>
              <w:pStyle w:val="Compact"/>
              <w:jc w:val="right"/>
            </w:pPr>
            <w:r>
              <w:t xml:space="preserve">97.5%</w:t>
            </w:r>
          </w:p>
        </w:tc>
      </w:tr>
      <w:tr>
        <w:tc>
          <w:tcPr/>
          <w:p>
            <w:pPr>
              <w:pStyle w:val="Compact"/>
            </w:pPr>
            <w:r>
              <w:t xml:space="preserve">CHE, budget share &gt; 10% (%)</w:t>
            </w:r>
          </w:p>
        </w:tc>
        <w:tc>
          <w:tcPr/>
          <w:p>
            <w:pPr>
              <w:pStyle w:val="Compact"/>
              <w:jc w:val="right"/>
            </w:pPr>
            <w:r>
              <w:t xml:space="preserve">14.1</w:t>
            </w:r>
          </w:p>
        </w:tc>
        <w:tc>
          <w:tcPr/>
          <w:p>
            <w:pPr>
              <w:pStyle w:val="Compact"/>
              <w:jc w:val="right"/>
            </w:pPr>
            <w:r>
              <w:t xml:space="preserve">0.9</w:t>
            </w:r>
          </w:p>
        </w:tc>
        <w:tc>
          <w:tcPr/>
          <w:p>
            <w:pPr>
              <w:pStyle w:val="Compact"/>
              <w:jc w:val="right"/>
            </w:pPr>
            <w:r>
              <w:t xml:space="preserve">12.4</w:t>
            </w:r>
          </w:p>
        </w:tc>
        <w:tc>
          <w:tcPr/>
          <w:p>
            <w:pPr>
              <w:pStyle w:val="Compact"/>
              <w:jc w:val="right"/>
            </w:pPr>
            <w:r>
              <w:t xml:space="preserve">15.9</w:t>
            </w:r>
          </w:p>
        </w:tc>
      </w:tr>
      <w:tr>
        <w:tc>
          <w:tcPr/>
          <w:p>
            <w:pPr>
              <w:pStyle w:val="Compact"/>
            </w:pPr>
            <w:r>
              <w:t xml:space="preserve">CHE, capacity to pay &gt;= 40% (%)</w:t>
            </w:r>
          </w:p>
        </w:tc>
        <w:tc>
          <w:tcPr/>
          <w:p>
            <w:pPr>
              <w:pStyle w:val="Compact"/>
              <w:jc w:val="right"/>
            </w:pPr>
            <w:r>
              <w:t xml:space="preserve">7.9</w:t>
            </w:r>
          </w:p>
        </w:tc>
        <w:tc>
          <w:tcPr/>
          <w:p>
            <w:pPr>
              <w:pStyle w:val="Compact"/>
              <w:jc w:val="right"/>
            </w:pPr>
            <w:r>
              <w:t xml:space="preserve">0.6</w:t>
            </w:r>
          </w:p>
        </w:tc>
        <w:tc>
          <w:tcPr/>
          <w:p>
            <w:pPr>
              <w:pStyle w:val="Compact"/>
              <w:jc w:val="right"/>
            </w:pPr>
            <w:r>
              <w:t xml:space="preserve">6.8</w:t>
            </w:r>
          </w:p>
        </w:tc>
        <w:tc>
          <w:tcPr/>
          <w:p>
            <w:pPr>
              <w:pStyle w:val="Compact"/>
              <w:jc w:val="right"/>
            </w:pPr>
            <w:r>
              <w:t xml:space="preserve">9.3</w:t>
            </w:r>
          </w:p>
        </w:tc>
      </w:tr>
      <w:tr>
        <w:tc>
          <w:tcPr/>
          <w:p>
            <w:pPr>
              <w:pStyle w:val="Compact"/>
            </w:pPr>
            <w:r>
              <w:t xml:space="preserve">Pure premium (N)</w:t>
            </w:r>
          </w:p>
        </w:tc>
        <w:tc>
          <w:tcPr/>
          <w:p>
            <w:pPr>
              <w:pStyle w:val="Compact"/>
              <w:jc w:val="right"/>
            </w:pPr>
            <w:r>
              <w:t xml:space="preserve">21,458.5</w:t>
            </w:r>
          </w:p>
        </w:tc>
        <w:tc>
          <w:tcPr/>
          <w:p>
            <w:pPr>
              <w:pStyle w:val="Compact"/>
              <w:jc w:val="right"/>
            </w:pPr>
            <w:r>
              <w:t xml:space="preserve">1,291.3</w:t>
            </w:r>
          </w:p>
        </w:tc>
        <w:tc>
          <w:tcPr/>
          <w:p>
            <w:pPr>
              <w:pStyle w:val="Compact"/>
              <w:jc w:val="right"/>
            </w:pPr>
            <w:r>
              <w:t xml:space="preserve">19,118.6</w:t>
            </w:r>
          </w:p>
        </w:tc>
        <w:tc>
          <w:tcPr/>
          <w:p>
            <w:pPr>
              <w:pStyle w:val="Compact"/>
              <w:jc w:val="right"/>
            </w:pPr>
            <w:r>
              <w:t xml:space="preserve">23,928.6</w:t>
            </w:r>
          </w:p>
        </w:tc>
      </w:tr>
      <w:tr>
        <w:tc>
          <w:tcPr/>
          <w:p>
            <w:pPr>
              <w:pStyle w:val="Compact"/>
            </w:pPr>
            <w:r>
              <w:t xml:space="preserve">Gross premium (N)</w:t>
            </w:r>
          </w:p>
        </w:tc>
        <w:tc>
          <w:tcPr/>
          <w:p>
            <w:pPr>
              <w:pStyle w:val="Compact"/>
              <w:jc w:val="right"/>
            </w:pPr>
            <w:r>
              <w:t xml:space="preserve">27,247.1</w:t>
            </w:r>
          </w:p>
        </w:tc>
        <w:tc>
          <w:tcPr/>
          <w:p>
            <w:pPr>
              <w:pStyle w:val="Compact"/>
              <w:jc w:val="right"/>
            </w:pPr>
            <w:r>
              <w:t xml:space="preserve">1,643.9</w:t>
            </w:r>
          </w:p>
        </w:tc>
        <w:tc>
          <w:tcPr/>
          <w:p>
            <w:pPr>
              <w:pStyle w:val="Compact"/>
              <w:jc w:val="right"/>
            </w:pPr>
            <w:r>
              <w:t xml:space="preserve">24,270.3</w:t>
            </w:r>
          </w:p>
        </w:tc>
        <w:tc>
          <w:tcPr/>
          <w:p>
            <w:pPr>
              <w:pStyle w:val="Compact"/>
              <w:jc w:val="right"/>
            </w:pPr>
            <w:r>
              <w:t xml:space="preserve">30,387.5</w:t>
            </w:r>
          </w:p>
        </w:tc>
      </w:tr>
      <w:tr>
        <w:tc>
          <w:tcPr/>
          <w:p>
            <w:pPr>
              <w:pStyle w:val="Compact"/>
            </w:pPr>
            <w:r>
              <w:t xml:space="preserve">Flat contribution (N)</w:t>
            </w:r>
          </w:p>
        </w:tc>
        <w:tc>
          <w:tcPr/>
          <w:p>
            <w:pPr>
              <w:pStyle w:val="Compact"/>
              <w:jc w:val="right"/>
            </w:pPr>
            <w:r>
              <w:t xml:space="preserve">10,022.3</w:t>
            </w:r>
          </w:p>
        </w:tc>
        <w:tc>
          <w:tcPr/>
          <w:p>
            <w:pPr>
              <w:pStyle w:val="Compact"/>
              <w:jc w:val="right"/>
            </w:pPr>
            <w:r>
              <w:t xml:space="preserve">44.0</w:t>
            </w:r>
          </w:p>
        </w:tc>
        <w:tc>
          <w:tcPr/>
          <w:p>
            <w:pPr>
              <w:pStyle w:val="Compact"/>
              <w:jc w:val="right"/>
            </w:pPr>
            <w:r>
              <w:t xml:space="preserve">9,925.0</w:t>
            </w:r>
          </w:p>
        </w:tc>
        <w:tc>
          <w:tcPr/>
          <w:p>
            <w:pPr>
              <w:pStyle w:val="Compact"/>
              <w:jc w:val="right"/>
            </w:pPr>
            <w:r>
              <w:t xml:space="preserve">10,100.0</w:t>
            </w:r>
          </w:p>
        </w:tc>
      </w:tr>
      <w:tr>
        <w:tc>
          <w:tcPr/>
          <w:p>
            <w:pPr>
              <w:pStyle w:val="Compact"/>
            </w:pPr>
            <w:r>
              <w:t xml:space="preserve">Expected claim, random take-up (N)</w:t>
            </w:r>
          </w:p>
        </w:tc>
        <w:tc>
          <w:tcPr/>
          <w:p>
            <w:pPr>
              <w:pStyle w:val="Compact"/>
              <w:jc w:val="right"/>
            </w:pPr>
            <w:r>
              <w:t xml:space="preserve">21,342.0</w:t>
            </w:r>
          </w:p>
        </w:tc>
        <w:tc>
          <w:tcPr/>
          <w:p>
            <w:pPr>
              <w:pStyle w:val="Compact"/>
              <w:jc w:val="right"/>
            </w:pPr>
            <w:r>
              <w:t xml:space="preserve">1,484.6</w:t>
            </w:r>
          </w:p>
        </w:tc>
        <w:tc>
          <w:tcPr/>
          <w:p>
            <w:pPr>
              <w:pStyle w:val="Compact"/>
              <w:jc w:val="right"/>
            </w:pPr>
            <w:r>
              <w:t xml:space="preserve">18,769.5</w:t>
            </w:r>
          </w:p>
        </w:tc>
        <w:tc>
          <w:tcPr/>
          <w:p>
            <w:pPr>
              <w:pStyle w:val="Compact"/>
              <w:jc w:val="right"/>
            </w:pPr>
            <w:r>
              <w:t xml:space="preserve">24,183.6</w:t>
            </w:r>
          </w:p>
        </w:tc>
      </w:tr>
      <w:tr>
        <w:tc>
          <w:tcPr/>
          <w:p>
            <w:pPr>
              <w:pStyle w:val="Compact"/>
            </w:pPr>
            <w:r>
              <w:t xml:space="preserve">Minimum subsidy, random take-up (N)</w:t>
            </w:r>
          </w:p>
        </w:tc>
        <w:tc>
          <w:tcPr/>
          <w:p>
            <w:pPr>
              <w:pStyle w:val="Compact"/>
              <w:jc w:val="right"/>
            </w:pPr>
            <w:r>
              <w:t xml:space="preserve">15,343.9</w:t>
            </w:r>
          </w:p>
        </w:tc>
        <w:tc>
          <w:tcPr/>
          <w:p>
            <w:pPr>
              <w:pStyle w:val="Compact"/>
              <w:jc w:val="right"/>
            </w:pPr>
            <w:r>
              <w:t xml:space="preserve">1,849.7</w:t>
            </w:r>
          </w:p>
        </w:tc>
        <w:tc>
          <w:tcPr/>
          <w:p>
            <w:pPr>
              <w:pStyle w:val="Compact"/>
              <w:jc w:val="right"/>
            </w:pPr>
            <w:r>
              <w:t xml:space="preserve">12,049.8</w:t>
            </w:r>
          </w:p>
        </w:tc>
        <w:tc>
          <w:tcPr/>
          <w:p>
            <w:pPr>
              <w:pStyle w:val="Compact"/>
              <w:jc w:val="right"/>
            </w:pPr>
            <w:r>
              <w:t xml:space="preserve">18,947.8</w:t>
            </w:r>
          </w:p>
        </w:tc>
      </w:tr>
      <w:tr>
        <w:tc>
          <w:tcPr/>
          <w:p>
            <w:pPr>
              <w:pStyle w:val="Compact"/>
            </w:pPr>
            <w:r>
              <w:t xml:space="preserve">Expected claim, strong selection (N)</w:t>
            </w:r>
          </w:p>
        </w:tc>
        <w:tc>
          <w:tcPr/>
          <w:p>
            <w:pPr>
              <w:pStyle w:val="Compact"/>
              <w:jc w:val="right"/>
            </w:pPr>
            <w:r>
              <w:t xml:space="preserve">52,717.9</w:t>
            </w:r>
          </w:p>
        </w:tc>
        <w:tc>
          <w:tcPr/>
          <w:p>
            <w:pPr>
              <w:pStyle w:val="Compact"/>
              <w:jc w:val="right"/>
            </w:pPr>
            <w:r>
              <w:t xml:space="preserve">4,808.2</w:t>
            </w:r>
          </w:p>
        </w:tc>
        <w:tc>
          <w:tcPr/>
          <w:p>
            <w:pPr>
              <w:pStyle w:val="Compact"/>
              <w:jc w:val="right"/>
            </w:pPr>
            <w:r>
              <w:t xml:space="preserve">43,928.2</w:t>
            </w:r>
          </w:p>
        </w:tc>
        <w:tc>
          <w:tcPr/>
          <w:p>
            <w:pPr>
              <w:pStyle w:val="Compact"/>
              <w:jc w:val="right"/>
            </w:pPr>
            <w:r>
              <w:t xml:space="preserve">62,124.5</w:t>
            </w:r>
          </w:p>
        </w:tc>
      </w:tr>
      <w:tr>
        <w:tc>
          <w:tcPr/>
          <w:p>
            <w:pPr>
              <w:pStyle w:val="Compact"/>
            </w:pPr>
            <w:r>
              <w:t xml:space="preserve">Minimum subsidy, strong selection (N)</w:t>
            </w:r>
          </w:p>
        </w:tc>
        <w:tc>
          <w:tcPr/>
          <w:p>
            <w:pPr>
              <w:pStyle w:val="Compact"/>
              <w:jc w:val="right"/>
            </w:pPr>
            <w:r>
              <w:t xml:space="preserve">51,406.7</w:t>
            </w:r>
          </w:p>
        </w:tc>
        <w:tc>
          <w:tcPr/>
          <w:p>
            <w:pPr>
              <w:pStyle w:val="Compact"/>
              <w:jc w:val="right"/>
            </w:pPr>
            <w:r>
              <w:t xml:space="preserve">5,606.5</w:t>
            </w:r>
          </w:p>
        </w:tc>
        <w:tc>
          <w:tcPr/>
          <w:p>
            <w:pPr>
              <w:pStyle w:val="Compact"/>
              <w:jc w:val="right"/>
            </w:pPr>
            <w:r>
              <w:t xml:space="preserve">41,075.8</w:t>
            </w:r>
          </w:p>
        </w:tc>
        <w:tc>
          <w:tcPr/>
          <w:p>
            <w:pPr>
              <w:pStyle w:val="Compact"/>
              <w:jc w:val="right"/>
            </w:pPr>
            <w:r>
              <w:t xml:space="preserve">62,337.2</w:t>
            </w:r>
          </w:p>
        </w:tc>
      </w:tr>
    </w:tbl>
    <w:bookmarkEnd w:id="54"/>
    <w:bookmarkStart w:id="55" w:name="appendix-tables"/>
    <w:p>
      <w:pPr>
        <w:pStyle w:val="Heading1"/>
      </w:pPr>
      <w:r>
        <w:t xml:space="preserve">Appendix tables</w:t>
      </w:r>
    </w:p>
    <w:p>
      <w:pPr>
        <w:pStyle w:val="FirstParagraph"/>
      </w:pPr>
      <w:r>
        <w:rPr>
          <w:b/>
          <w:bCs/>
        </w:rPr>
        <w:t xml:space="preserve">Table A1.</w:t>
      </w:r>
      <w:r>
        <w:t xml:space="preserve"> </w:t>
      </w:r>
      <w:r>
        <w:t xml:space="preserve">The rebuilt consumption aggregate against wave 4’s published aggregate, and the calibration check.</w:t>
      </w:r>
    </w:p>
    <w:p>
      <w:pPr>
        <w:pStyle w:val="BodyText"/>
      </w:pPr>
      <w:r>
        <w:rPr>
          <w:i/>
          <w:iCs/>
        </w:rPr>
        <w:t xml:space="preserve">Upper panel: component means. Lower panel: CHE on wave 4 computed with the official aggregate, the rebuilt aggregate and the calibrated rebuilt aggregate, holding out-of-pocket spending fixed. Calibration factors: food 1.158, non-food 0.892, rent to non-rent 0.0687.</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Wave-4 aggregate</w:t>
            </w:r>
          </w:p>
        </w:tc>
        <w:tc>
          <w:tcPr/>
          <w:p>
            <w:pPr>
              <w:pStyle w:val="Compact"/>
              <w:jc w:val="right"/>
            </w:pPr>
            <w:r>
              <w:t xml:space="preserve">Mean</w:t>
            </w:r>
          </w:p>
        </w:tc>
        <w:tc>
          <w:tcPr/>
          <w:p>
            <w:pPr>
              <w:pStyle w:val="Compact"/>
              <w:jc w:val="right"/>
            </w:pPr>
            <w:r>
              <w:t xml:space="preserve">Ratio to official</w:t>
            </w:r>
          </w:p>
        </w:tc>
        <w:tc>
          <w:tcPr/>
          <w:p>
            <w:pPr>
              <w:pStyle w:val="Compact"/>
              <w:jc w:val="right"/>
            </w:pPr>
            <w:r>
              <w:t xml:space="preserve">Spearman</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Mean OOP share %</w:t>
            </w:r>
          </w:p>
        </w:tc>
      </w:tr>
      <w:tr>
        <w:tc>
          <w:tcPr/>
          <w:p>
            <w:pPr>
              <w:pStyle w:val="Compact"/>
            </w:pPr>
            <w:r>
              <w:t xml:space="preserve">Official aggregate</w:t>
            </w:r>
          </w:p>
        </w:tc>
        <w:tc>
          <w:tcPr/>
          <w:p>
            <w:pPr>
              <w:pStyle w:val="Compact"/>
              <w:jc w:val="right"/>
            </w:pPr>
            <w:r>
              <w:t xml:space="preserve">1,041,090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14.1</w:t>
            </w:r>
          </w:p>
        </w:tc>
        <w:tc>
          <w:tcPr/>
          <w:p>
            <w:pPr>
              <w:pStyle w:val="Compact"/>
              <w:jc w:val="right"/>
            </w:pPr>
            <w:r>
              <w:t xml:space="preserve">2.5</w:t>
            </w:r>
          </w:p>
        </w:tc>
        <w:tc>
          <w:tcPr/>
          <w:p>
            <w:pPr>
              <w:pStyle w:val="Compact"/>
              <w:jc w:val="right"/>
            </w:pPr>
            <w:r>
              <w:t xml:space="preserve">4.9</w:t>
            </w:r>
          </w:p>
        </w:tc>
      </w:tr>
      <w:tr>
        <w:tc>
          <w:tcPr/>
          <w:p>
            <w:pPr>
              <w:pStyle w:val="Compact"/>
            </w:pPr>
            <w:r>
              <w:t xml:space="preserve">Rebuilt, uncalibrated</w:t>
            </w:r>
          </w:p>
        </w:tc>
        <w:tc>
          <w:tcPr/>
          <w:p>
            <w:pPr>
              <w:pStyle w:val="Compact"/>
              <w:jc w:val="right"/>
            </w:pPr>
            <w:r>
              <w:t xml:space="preserve">873,100</w:t>
            </w:r>
          </w:p>
        </w:tc>
        <w:tc>
          <w:tcPr/>
          <w:p>
            <w:pPr>
              <w:pStyle w:val="Compact"/>
              <w:jc w:val="right"/>
            </w:pPr>
            <w:r>
              <w:t xml:space="preserve">0.839</w:t>
            </w:r>
          </w:p>
        </w:tc>
        <w:tc>
          <w:tcPr/>
          <w:p>
            <w:pPr>
              <w:pStyle w:val="Compact"/>
              <w:jc w:val="right"/>
            </w:pPr>
            <w:r>
              <w:t xml:space="preserve">0.850</w:t>
            </w:r>
          </w:p>
        </w:tc>
        <w:tc>
          <w:tcPr/>
          <w:p>
            <w:pPr>
              <w:pStyle w:val="Compact"/>
              <w:jc w:val="right"/>
            </w:pPr>
            <w:r>
              <w:t xml:space="preserve">17.6</w:t>
            </w:r>
          </w:p>
        </w:tc>
        <w:tc>
          <w:tcPr/>
          <w:p>
            <w:pPr>
              <w:pStyle w:val="Compact"/>
              <w:jc w:val="right"/>
            </w:pPr>
            <w:r>
              <w:t xml:space="preserve">4.0</w:t>
            </w:r>
          </w:p>
        </w:tc>
        <w:tc>
          <w:tcPr/>
          <w:p>
            <w:pPr>
              <w:pStyle w:val="Compact"/>
              <w:jc w:val="right"/>
            </w:pPr>
            <w:r>
              <w:t xml:space="preserve">5.9</w:t>
            </w:r>
          </w:p>
        </w:tc>
      </w:tr>
      <w:tr>
        <w:tc>
          <w:tcPr/>
          <w:p>
            <w:pPr>
              <w:pStyle w:val="Compact"/>
            </w:pPr>
            <w:r>
              <w:t xml:space="preserve">Rebuilt, calibrated</w:t>
            </w:r>
          </w:p>
        </w:tc>
        <w:tc>
          <w:tcPr/>
          <w:p>
            <w:pPr>
              <w:pStyle w:val="Compact"/>
              <w:jc w:val="right"/>
            </w:pPr>
            <w:r>
              <w:t xml:space="preserve">1,000,751</w:t>
            </w:r>
          </w:p>
        </w:tc>
        <w:tc>
          <w:tcPr/>
          <w:p>
            <w:pPr>
              <w:pStyle w:val="Compact"/>
              <w:jc w:val="right"/>
            </w:pPr>
            <w:r>
              <w:t xml:space="preserve">0.961</w:t>
            </w:r>
          </w:p>
        </w:tc>
        <w:tc>
          <w:tcPr/>
          <w:p>
            <w:pPr>
              <w:pStyle w:val="Compact"/>
              <w:jc w:val="right"/>
            </w:pPr>
            <w:r>
              <w:t xml:space="preserve">0.841</w:t>
            </w:r>
          </w:p>
        </w:tc>
        <w:tc>
          <w:tcPr/>
          <w:p>
            <w:pPr>
              <w:pStyle w:val="Compact"/>
              <w:jc w:val="right"/>
            </w:pPr>
            <w:r>
              <w:t xml:space="preserve">15.2</w:t>
            </w:r>
          </w:p>
        </w:tc>
        <w:tc>
          <w:tcPr/>
          <w:p>
            <w:pPr>
              <w:pStyle w:val="Compact"/>
              <w:jc w:val="right"/>
            </w:pPr>
            <w:r>
              <w:t xml:space="preserve">2.7</w:t>
            </w:r>
          </w:p>
        </w:tc>
        <w:tc>
          <w:tcPr/>
          <w:p>
            <w:pPr>
              <w:pStyle w:val="Compact"/>
              <w:jc w:val="right"/>
            </w:pPr>
            <w:r>
              <w:t xml:space="preserve">5.2</w:t>
            </w:r>
          </w:p>
        </w:tc>
      </w:tr>
    </w:tbl>
    <w:p>
      <w:pPr>
        <w:pStyle w:val="BodyText"/>
      </w:pPr>
      <w:r>
        <w:rPr>
          <w:b/>
          <w:bCs/>
        </w:rPr>
        <w:t xml:space="preserve">Table A2.</w:t>
      </w:r>
      <w:r>
        <w:t xml:space="preserve"> </w:t>
      </w:r>
      <w:r>
        <w:t xml:space="preserve">Catastrophic expenditure by residence and zone, and observed health-insurance coverage.</w:t>
      </w:r>
    </w:p>
    <w:p>
      <w:pPr>
        <w:pStyle w:val="BodyText"/>
      </w:pPr>
      <w:r>
        <w:rPr>
          <w:i/>
          <w:iCs/>
        </w:rPr>
        <w:t xml:space="preserve">The 25% and 40% budget-share thresholds are in output/tables/table2_che.csv.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14.2</w:t>
            </w:r>
          </w:p>
        </w:tc>
        <w:tc>
          <w:tcPr/>
          <w:p>
            <w:pPr>
              <w:pStyle w:val="Compact"/>
              <w:jc w:val="right"/>
            </w:pPr>
            <w:r>
              <w:t xml:space="preserve">12.0</w:t>
            </w:r>
          </w:p>
        </w:tc>
        <w:tc>
          <w:tcPr/>
          <w:p>
            <w:pPr>
              <w:pStyle w:val="Compact"/>
              <w:jc w:val="right"/>
            </w:pPr>
            <w:r>
              <w:t xml:space="preserve">16.4</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14.0</w:t>
            </w:r>
          </w:p>
        </w:tc>
        <w:tc>
          <w:tcPr/>
          <w:p>
            <w:pPr>
              <w:pStyle w:val="Compact"/>
              <w:jc w:val="right"/>
            </w:pPr>
            <w:r>
              <w:t xml:space="preserve">11.4</w:t>
            </w:r>
          </w:p>
        </w:tc>
        <w:tc>
          <w:tcPr/>
          <w:p>
            <w:pPr>
              <w:pStyle w:val="Compact"/>
              <w:jc w:val="right"/>
            </w:pPr>
            <w:r>
              <w:t xml:space="preserve">16.6</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21.3</w:t>
            </w:r>
          </w:p>
        </w:tc>
        <w:tc>
          <w:tcPr/>
          <w:p>
            <w:pPr>
              <w:pStyle w:val="Compact"/>
              <w:jc w:val="right"/>
            </w:pPr>
            <w:r>
              <w:t xml:space="preserve">16.4</w:t>
            </w:r>
          </w:p>
        </w:tc>
        <w:tc>
          <w:tcPr/>
          <w:p>
            <w:pPr>
              <w:pStyle w:val="Compact"/>
              <w:jc w:val="right"/>
            </w:pPr>
            <w:r>
              <w:t xml:space="preserve">26.1</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13.5</w:t>
            </w:r>
          </w:p>
        </w:tc>
        <w:tc>
          <w:tcPr/>
          <w:p>
            <w:pPr>
              <w:pStyle w:val="Compact"/>
              <w:jc w:val="right"/>
            </w:pPr>
            <w:r>
              <w:t xml:space="preserve">10.4</w:t>
            </w:r>
          </w:p>
        </w:tc>
        <w:tc>
          <w:tcPr/>
          <w:p>
            <w:pPr>
              <w:pStyle w:val="Compact"/>
              <w:jc w:val="right"/>
            </w:pPr>
            <w:r>
              <w:t xml:space="preserve">16.7</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9.2</w:t>
            </w:r>
          </w:p>
        </w:tc>
        <w:tc>
          <w:tcPr/>
          <w:p>
            <w:pPr>
              <w:pStyle w:val="Compact"/>
              <w:jc w:val="right"/>
            </w:pPr>
            <w:r>
              <w:t xml:space="preserve">6.0</w:t>
            </w:r>
          </w:p>
        </w:tc>
        <w:tc>
          <w:tcPr/>
          <w:p>
            <w:pPr>
              <w:pStyle w:val="Compact"/>
              <w:jc w:val="right"/>
            </w:pPr>
            <w:r>
              <w:t xml:space="preserve">12.5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24.8</w:t>
            </w:r>
          </w:p>
        </w:tc>
        <w:tc>
          <w:tcPr/>
          <w:p>
            <w:pPr>
              <w:pStyle w:val="Compact"/>
              <w:jc w:val="right"/>
            </w:pPr>
            <w:r>
              <w:t xml:space="preserve">20.2</w:t>
            </w:r>
          </w:p>
        </w:tc>
        <w:tc>
          <w:tcPr/>
          <w:p>
            <w:pPr>
              <w:pStyle w:val="Compact"/>
              <w:jc w:val="right"/>
            </w:pPr>
            <w:r>
              <w:t xml:space="preserve">29.5</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15.9</w:t>
            </w:r>
          </w:p>
        </w:tc>
        <w:tc>
          <w:tcPr/>
          <w:p>
            <w:pPr>
              <w:pStyle w:val="Compact"/>
              <w:jc w:val="right"/>
            </w:pPr>
            <w:r>
              <w:t xml:space="preserve">11.2</w:t>
            </w:r>
          </w:p>
        </w:tc>
        <w:tc>
          <w:tcPr/>
          <w:p>
            <w:pPr>
              <w:pStyle w:val="Compact"/>
              <w:jc w:val="right"/>
            </w:pPr>
            <w:r>
              <w:t xml:space="preserve">20.5</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8.8</w:t>
            </w:r>
          </w:p>
        </w:tc>
        <w:tc>
          <w:tcPr/>
          <w:p>
            <w:pPr>
              <w:pStyle w:val="Compact"/>
              <w:jc w:val="right"/>
            </w:pPr>
            <w:r>
              <w:t xml:space="preserve">6.1</w:t>
            </w:r>
          </w:p>
        </w:tc>
        <w:tc>
          <w:tcPr/>
          <w:p>
            <w:pPr>
              <w:pStyle w:val="Compact"/>
              <w:jc w:val="right"/>
            </w:pPr>
            <w:r>
              <w:t xml:space="preserve">11.4</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9.0</w:t>
            </w:r>
          </w:p>
        </w:tc>
        <w:tc>
          <w:tcPr/>
          <w:p>
            <w:pPr>
              <w:pStyle w:val="Compact"/>
              <w:jc w:val="right"/>
            </w:pPr>
            <w:r>
              <w:t xml:space="preserve">7.4</w:t>
            </w:r>
          </w:p>
        </w:tc>
        <w:tc>
          <w:tcPr/>
          <w:p>
            <w:pPr>
              <w:pStyle w:val="Compact"/>
              <w:jc w:val="right"/>
            </w:pPr>
            <w:r>
              <w:t xml:space="preserve">10.7</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6.0</w:t>
            </w:r>
          </w:p>
        </w:tc>
        <w:tc>
          <w:tcPr/>
          <w:p>
            <w:pPr>
              <w:pStyle w:val="Compact"/>
              <w:jc w:val="right"/>
            </w:pPr>
            <w:r>
              <w:t xml:space="preserve">4.2</w:t>
            </w:r>
          </w:p>
        </w:tc>
        <w:tc>
          <w:tcPr/>
          <w:p>
            <w:pPr>
              <w:pStyle w:val="Compact"/>
              <w:jc w:val="right"/>
            </w:pPr>
            <w:r>
              <w:t xml:space="preserve">7.8</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13.0</w:t>
            </w:r>
          </w:p>
        </w:tc>
        <w:tc>
          <w:tcPr/>
          <w:p>
            <w:pPr>
              <w:pStyle w:val="Compact"/>
              <w:jc w:val="right"/>
            </w:pPr>
            <w:r>
              <w:t xml:space="preserve">9.1</w:t>
            </w:r>
          </w:p>
        </w:tc>
        <w:tc>
          <w:tcPr/>
          <w:p>
            <w:pPr>
              <w:pStyle w:val="Compact"/>
              <w:jc w:val="right"/>
            </w:pPr>
            <w:r>
              <w:t xml:space="preserve">17.0</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10.9</w:t>
            </w:r>
          </w:p>
        </w:tc>
        <w:tc>
          <w:tcPr/>
          <w:p>
            <w:pPr>
              <w:pStyle w:val="Compact"/>
              <w:jc w:val="right"/>
            </w:pPr>
            <w:r>
              <w:t xml:space="preserve">8.2</w:t>
            </w:r>
          </w:p>
        </w:tc>
        <w:tc>
          <w:tcPr/>
          <w:p>
            <w:pPr>
              <w:pStyle w:val="Compact"/>
              <w:jc w:val="right"/>
            </w:pPr>
            <w:r>
              <w:t xml:space="preserve">13.6</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4.6</w:t>
            </w:r>
          </w:p>
        </w:tc>
        <w:tc>
          <w:tcPr/>
          <w:p>
            <w:pPr>
              <w:pStyle w:val="Compact"/>
              <w:jc w:val="right"/>
            </w:pPr>
            <w:r>
              <w:t xml:space="preserve">2.2</w:t>
            </w:r>
          </w:p>
        </w:tc>
        <w:tc>
          <w:tcPr/>
          <w:p>
            <w:pPr>
              <w:pStyle w:val="Compact"/>
              <w:jc w:val="right"/>
            </w:pPr>
            <w:r>
              <w:t xml:space="preserve">6.9</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13.7</w:t>
            </w:r>
          </w:p>
        </w:tc>
        <w:tc>
          <w:tcPr/>
          <w:p>
            <w:pPr>
              <w:pStyle w:val="Compact"/>
              <w:jc w:val="right"/>
            </w:pPr>
            <w:r>
              <w:t xml:space="preserve">9.9</w:t>
            </w:r>
          </w:p>
        </w:tc>
        <w:tc>
          <w:tcPr/>
          <w:p>
            <w:pPr>
              <w:pStyle w:val="Compact"/>
              <w:jc w:val="right"/>
            </w:pPr>
            <w:r>
              <w:t xml:space="preserve">17.5</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7.3</w:t>
            </w:r>
          </w:p>
        </w:tc>
        <w:tc>
          <w:tcPr/>
          <w:p>
            <w:pPr>
              <w:pStyle w:val="Compact"/>
              <w:jc w:val="right"/>
            </w:pPr>
            <w:r>
              <w:t xml:space="preserve">4.5</w:t>
            </w:r>
          </w:p>
        </w:tc>
        <w:tc>
          <w:tcPr/>
          <w:p>
            <w:pPr>
              <w:pStyle w:val="Compact"/>
              <w:jc w:val="right"/>
            </w:pPr>
            <w:r>
              <w:t xml:space="preserve">10.1</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3.5</w:t>
            </w:r>
          </w:p>
        </w:tc>
        <w:tc>
          <w:tcPr/>
          <w:p>
            <w:pPr>
              <w:pStyle w:val="Compact"/>
              <w:jc w:val="right"/>
            </w:pPr>
            <w:r>
              <w:t xml:space="preserve">1.9</w:t>
            </w:r>
          </w:p>
        </w:tc>
        <w:tc>
          <w:tcPr/>
          <w:p>
            <w:pPr>
              <w:pStyle w:val="Compact"/>
              <w:jc w:val="right"/>
            </w:pPr>
            <w:r>
              <w:t xml:space="preserve">5.1</w:t>
            </w:r>
          </w:p>
        </w:tc>
        <w:tc>
          <w:tcPr/>
          <w:p>
            <w:pPr>
              <w:pStyle w:val="Compact"/>
              <w:jc w:val="right"/>
            </w:pPr>
            <w:r>
              <w:t xml:space="preserve">752</w:t>
            </w: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Households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Households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701</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1.45</w:t>
            </w:r>
          </w:p>
        </w:tc>
        <w:tc>
          <w:tcPr/>
          <w:p>
            <w:pPr>
              <w:pStyle w:val="Compact"/>
              <w:jc w:val="right"/>
            </w:pPr>
            <w:r>
              <w:t xml:space="preserve">0.80</w:t>
            </w:r>
          </w:p>
        </w:tc>
        <w:tc>
          <w:tcPr/>
          <w:p>
            <w:pPr>
              <w:pStyle w:val="Compact"/>
              <w:jc w:val="right"/>
            </w:pPr>
            <w:r>
              <w:t xml:space="preserve">0.50</w:t>
            </w:r>
          </w:p>
        </w:tc>
        <w:tc>
          <w:tcPr/>
          <w:p>
            <w:pPr>
              <w:pStyle w:val="Compact"/>
              <w:jc w:val="right"/>
            </w:pPr>
            <w:r>
              <w:t xml:space="preserve">0.06</w:t>
            </w:r>
          </w:p>
        </w:tc>
        <w:tc>
          <w:tcPr/>
          <w:p>
            <w:pPr>
              <w:pStyle w:val="Compact"/>
              <w:jc w:val="right"/>
            </w:pPr>
            <w:r>
              <w:t xml:space="preserve">699</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1.10</w:t>
            </w:r>
          </w:p>
        </w:tc>
        <w:tc>
          <w:tcPr/>
          <w:p>
            <w:pPr>
              <w:pStyle w:val="Compact"/>
              <w:jc w:val="right"/>
            </w:pPr>
            <w:r>
              <w:t xml:space="preserve">0.38</w:t>
            </w:r>
          </w:p>
        </w:tc>
        <w:tc>
          <w:tcPr/>
          <w:p>
            <w:pPr>
              <w:pStyle w:val="Compact"/>
              <w:jc w:val="right"/>
            </w:pPr>
            <w:r>
              <w:t xml:space="preserve">0.60</w:t>
            </w:r>
          </w:p>
        </w:tc>
        <w:tc>
          <w:tcPr/>
          <w:p>
            <w:pPr>
              <w:pStyle w:val="Compact"/>
              <w:jc w:val="right"/>
            </w:pPr>
            <w:r>
              <w:t xml:space="preserve">0.20</w:t>
            </w:r>
          </w:p>
        </w:tc>
        <w:tc>
          <w:tcPr/>
          <w:p>
            <w:pPr>
              <w:pStyle w:val="Compact"/>
              <w:jc w:val="right"/>
            </w:pPr>
            <w:r>
              <w:t xml:space="preserve">808</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2.21</w:t>
            </w:r>
          </w:p>
        </w:tc>
        <w:tc>
          <w:tcPr/>
          <w:p>
            <w:pPr>
              <w:pStyle w:val="Compact"/>
              <w:jc w:val="right"/>
            </w:pPr>
            <w:r>
              <w:t xml:space="preserve">0.76</w:t>
            </w:r>
          </w:p>
        </w:tc>
        <w:tc>
          <w:tcPr/>
          <w:p>
            <w:pPr>
              <w:pStyle w:val="Compact"/>
              <w:jc w:val="right"/>
            </w:pPr>
            <w:r>
              <w:t xml:space="preserve">1.46</w:t>
            </w:r>
          </w:p>
        </w:tc>
        <w:tc>
          <w:tcPr/>
          <w:p>
            <w:pPr>
              <w:pStyle w:val="Compact"/>
              <w:jc w:val="right"/>
            </w:pPr>
            <w:r>
              <w:t xml:space="preserve">0.08</w:t>
            </w:r>
          </w:p>
        </w:tc>
        <w:tc>
          <w:tcPr/>
          <w:p>
            <w:pPr>
              <w:pStyle w:val="Compact"/>
              <w:jc w:val="right"/>
            </w:pPr>
            <w:r>
              <w:t xml:space="preserve">1,041</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3.15</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1,436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A3.</w:t>
      </w:r>
      <w:r>
        <w:t xml:space="preserve"> </w:t>
      </w:r>
      <w:r>
        <w:t xml:space="preserve">Impoverishment from out-of-pocket payments, and its sensitivity to the poverty line.</w:t>
      </w:r>
    </w:p>
    <w:p>
      <w:pPr>
        <w:pStyle w:val="BodyText"/>
      </w:pPr>
      <w:r>
        <w:rPr>
          <w:i/>
          <w:iCs/>
        </w:rPr>
        <w:t xml:space="preserve">The headcount is a level and depends on the line and on the consumption aggregate; the impoverishing effect is a difference and moves much less.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57.20</w:t>
            </w:r>
          </w:p>
        </w:tc>
        <w:tc>
          <w:tcPr/>
          <w:p>
            <w:pPr>
              <w:pStyle w:val="Compact"/>
              <w:jc w:val="right"/>
            </w:pPr>
            <w:r>
              <w:t xml:space="preserve">1.65</w:t>
            </w:r>
          </w:p>
        </w:tc>
      </w:tr>
      <w:tr>
        <w:tc>
          <w:tcPr/>
          <w:p>
            <w:pPr>
              <w:pStyle w:val="Compact"/>
            </w:pPr>
            <w:r>
              <w:t xml:space="preserve">Poverty headcount after OOP (%)</w:t>
            </w:r>
          </w:p>
        </w:tc>
        <w:tc>
          <w:tcPr/>
          <w:p>
            <w:pPr>
              <w:pStyle w:val="Compact"/>
              <w:jc w:val="right"/>
            </w:pPr>
            <w:r>
              <w:t xml:space="preserve">60.29</w:t>
            </w:r>
          </w:p>
        </w:tc>
        <w:tc>
          <w:tcPr/>
          <w:p>
            <w:pPr>
              <w:pStyle w:val="Compact"/>
              <w:jc w:val="right"/>
            </w:pPr>
            <w:r>
              <w:t xml:space="preserve">1.60</w:t>
            </w:r>
          </w:p>
        </w:tc>
      </w:tr>
      <w:tr>
        <w:tc>
          <w:tcPr/>
          <w:p>
            <w:pPr>
              <w:pStyle w:val="Compact"/>
            </w:pPr>
            <w:r>
              <w:t xml:space="preserve">Impoverished by OOP (pp)</w:t>
            </w:r>
          </w:p>
        </w:tc>
        <w:tc>
          <w:tcPr/>
          <w:p>
            <w:pPr>
              <w:pStyle w:val="Compact"/>
              <w:jc w:val="right"/>
            </w:pPr>
            <w:r>
              <w:t xml:space="preserve">3.09</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3.09</w:t>
            </w:r>
          </w:p>
        </w:tc>
        <w:tc>
          <w:tcPr/>
          <w:p>
            <w:pPr>
              <w:pStyle w:val="Compact"/>
              <w:jc w:val="right"/>
            </w:pPr>
            <w:r>
              <w:t xml:space="preserve">0.46</w:t>
            </w:r>
          </w:p>
        </w:tc>
      </w:tr>
      <w:tr>
        <w:tc>
          <w:tcPr/>
          <w:p>
            <w:pPr>
              <w:pStyle w:val="Compact"/>
            </w:pPr>
            <w:r>
              <w:t xml:space="preserve">Normalized poverty gap before OOP (%)</w:t>
            </w:r>
          </w:p>
        </w:tc>
        <w:tc>
          <w:tcPr/>
          <w:p>
            <w:pPr>
              <w:pStyle w:val="Compact"/>
              <w:jc w:val="right"/>
            </w:pPr>
            <w:r>
              <w:t xml:space="preserve">22.01</w:t>
            </w:r>
          </w:p>
        </w:tc>
        <w:tc>
          <w:tcPr/>
          <w:p>
            <w:pPr>
              <w:pStyle w:val="Compact"/>
              <w:jc w:val="right"/>
            </w:pPr>
            <w:r>
              <w:t xml:space="preserve">0.93</w:t>
            </w:r>
          </w:p>
        </w:tc>
      </w:tr>
      <w:tr>
        <w:tc>
          <w:tcPr/>
          <w:p>
            <w:pPr>
              <w:pStyle w:val="Compact"/>
            </w:pPr>
            <w:r>
              <w:t xml:space="preserve">Normalized poverty gap after OOP (%)</w:t>
            </w:r>
          </w:p>
        </w:tc>
        <w:tc>
          <w:tcPr/>
          <w:p>
            <w:pPr>
              <w:pStyle w:val="Compact"/>
              <w:jc w:val="right"/>
            </w:pPr>
            <w:r>
              <w:t xml:space="preserve">23.87</w:t>
            </w:r>
          </w:p>
        </w:tc>
        <w:tc>
          <w:tcPr/>
          <w:p>
            <w:pPr>
              <w:pStyle w:val="Compact"/>
              <w:jc w:val="right"/>
            </w:pPr>
            <w:r>
              <w:t xml:space="preserve">0.93</w:t>
            </w:r>
          </w:p>
        </w:tc>
      </w:tr>
      <w:tr>
        <w:tc>
          <w:tcPr/>
          <w:p>
            <w:pPr>
              <w:pStyle w:val="Compact"/>
            </w:pPr>
            <w:r>
              <w:t xml:space="preserve">Increase in poverty gap (pp)</w:t>
            </w:r>
          </w:p>
        </w:tc>
        <w:tc>
          <w:tcPr/>
          <w:p>
            <w:pPr>
              <w:pStyle w:val="Compact"/>
              <w:jc w:val="right"/>
            </w:pPr>
            <w:r>
              <w:t xml:space="preserve">1.86</w:t>
            </w:r>
          </w:p>
        </w:tc>
        <w:tc>
          <w:tcPr/>
          <w:p>
            <w:pPr>
              <w:pStyle w:val="Compact"/>
              <w:jc w:val="right"/>
            </w:pPr>
            <w:r>
              <w:t xml:space="preserve">nan</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17.6</w:t>
            </w:r>
          </w:p>
        </w:tc>
        <w:tc>
          <w:tcPr/>
          <w:p>
            <w:pPr>
              <w:pStyle w:val="Compact"/>
              <w:jc w:val="right"/>
            </w:pPr>
            <w:r>
              <w:t xml:space="preserve">19.9</w:t>
            </w:r>
          </w:p>
        </w:tc>
        <w:tc>
          <w:tcPr/>
          <w:p>
            <w:pPr>
              <w:pStyle w:val="Compact"/>
              <w:jc w:val="right"/>
            </w:pPr>
            <w:r>
              <w:t xml:space="preserve">2.30</w:t>
            </w:r>
          </w:p>
        </w:tc>
        <w:tc>
          <w:tcPr/>
          <w:p>
            <w:pPr>
              <w:pStyle w:val="Compact"/>
              <w:jc w:val="right"/>
            </w:pPr>
            <w:r>
              <w:t xml:space="preserve">4.87</w:t>
            </w:r>
          </w:p>
        </w:tc>
      </w:tr>
      <w:tr>
        <w:tc>
          <w:tcPr/>
          <w:p>
            <w:pPr>
              <w:pStyle w:val="Compact"/>
            </w:pPr>
            <w:r>
              <w:t xml:space="preserve">238,097</w:t>
            </w:r>
          </w:p>
        </w:tc>
        <w:tc>
          <w:tcPr/>
          <w:p>
            <w:pPr>
              <w:pStyle w:val="Compact"/>
              <w:jc w:val="right"/>
            </w:pPr>
            <w:r>
              <w:t xml:space="preserve">0.75</w:t>
            </w:r>
          </w:p>
        </w:tc>
        <w:tc>
          <w:tcPr/>
          <w:p>
            <w:pPr>
              <w:pStyle w:val="Compact"/>
              <w:jc w:val="right"/>
            </w:pPr>
            <w:r>
              <w:t xml:space="preserve">40.2</w:t>
            </w:r>
          </w:p>
        </w:tc>
        <w:tc>
          <w:tcPr/>
          <w:p>
            <w:pPr>
              <w:pStyle w:val="Compact"/>
              <w:jc w:val="right"/>
            </w:pPr>
            <w:r>
              <w:t xml:space="preserve">42.8</w:t>
            </w:r>
          </w:p>
        </w:tc>
        <w:tc>
          <w:tcPr/>
          <w:p>
            <w:pPr>
              <w:pStyle w:val="Compact"/>
              <w:jc w:val="right"/>
            </w:pPr>
            <w:r>
              <w:t xml:space="preserve">2.67</w:t>
            </w:r>
          </w:p>
        </w:tc>
        <w:tc>
          <w:tcPr/>
          <w:p>
            <w:pPr>
              <w:pStyle w:val="Compact"/>
              <w:jc w:val="right"/>
            </w:pPr>
            <w:r>
              <w:t xml:space="preserve">5.64</w:t>
            </w:r>
          </w:p>
        </w:tc>
      </w:tr>
      <w:tr>
        <w:tc>
          <w:tcPr/>
          <w:p>
            <w:pPr>
              <w:pStyle w:val="Compact"/>
            </w:pPr>
            <w:r>
              <w:t xml:space="preserve">317,463</w:t>
            </w:r>
          </w:p>
        </w:tc>
        <w:tc>
          <w:tcPr/>
          <w:p>
            <w:pPr>
              <w:pStyle w:val="Compact"/>
              <w:jc w:val="right"/>
            </w:pPr>
            <w:r>
              <w:t xml:space="preserve">1.00</w:t>
            </w:r>
          </w:p>
        </w:tc>
        <w:tc>
          <w:tcPr/>
          <w:p>
            <w:pPr>
              <w:pStyle w:val="Compact"/>
              <w:jc w:val="right"/>
            </w:pPr>
            <w:r>
              <w:t xml:space="preserve">57.2</w:t>
            </w:r>
          </w:p>
        </w:tc>
        <w:tc>
          <w:tcPr/>
          <w:p>
            <w:pPr>
              <w:pStyle w:val="Compact"/>
              <w:jc w:val="right"/>
            </w:pPr>
            <w:r>
              <w:t xml:space="preserve">60.3</w:t>
            </w:r>
          </w:p>
        </w:tc>
        <w:tc>
          <w:tcPr/>
          <w:p>
            <w:pPr>
              <w:pStyle w:val="Compact"/>
              <w:jc w:val="right"/>
            </w:pPr>
            <w:r>
              <w:t xml:space="preserve">3.09</w:t>
            </w:r>
          </w:p>
        </w:tc>
        <w:tc>
          <w:tcPr/>
          <w:p>
            <w:pPr>
              <w:pStyle w:val="Compact"/>
              <w:jc w:val="right"/>
            </w:pPr>
            <w:r>
              <w:t xml:space="preserve">6.54</w:t>
            </w:r>
          </w:p>
        </w:tc>
      </w:tr>
      <w:tr>
        <w:tc>
          <w:tcPr/>
          <w:p>
            <w:pPr>
              <w:pStyle w:val="Compact"/>
            </w:pPr>
            <w:r>
              <w:t xml:space="preserve">396,829</w:t>
            </w:r>
          </w:p>
        </w:tc>
        <w:tc>
          <w:tcPr/>
          <w:p>
            <w:pPr>
              <w:pStyle w:val="Compact"/>
              <w:jc w:val="right"/>
            </w:pPr>
            <w:r>
              <w:t xml:space="preserve">1.25</w:t>
            </w:r>
          </w:p>
        </w:tc>
        <w:tc>
          <w:tcPr/>
          <w:p>
            <w:pPr>
              <w:pStyle w:val="Compact"/>
              <w:jc w:val="right"/>
            </w:pPr>
            <w:r>
              <w:t xml:space="preserve">69.9</w:t>
            </w:r>
          </w:p>
        </w:tc>
        <w:tc>
          <w:tcPr/>
          <w:p>
            <w:pPr>
              <w:pStyle w:val="Compact"/>
              <w:jc w:val="right"/>
            </w:pPr>
            <w:r>
              <w:t xml:space="preserve">71.5</w:t>
            </w:r>
          </w:p>
        </w:tc>
        <w:tc>
          <w:tcPr/>
          <w:p>
            <w:pPr>
              <w:pStyle w:val="Compact"/>
              <w:jc w:val="right"/>
            </w:pPr>
            <w:r>
              <w:t xml:space="preserve">1.63</w:t>
            </w:r>
          </w:p>
        </w:tc>
        <w:tc>
          <w:tcPr/>
          <w:p>
            <w:pPr>
              <w:pStyle w:val="Compact"/>
              <w:jc w:val="right"/>
            </w:pPr>
            <w:r>
              <w:t xml:space="preserve">3.45</w:t>
            </w:r>
          </w:p>
        </w:tc>
      </w:tr>
      <w:tr>
        <w:tc>
          <w:tcPr/>
          <w:p>
            <w:pPr>
              <w:pStyle w:val="Compact"/>
            </w:pPr>
            <w:r>
              <w:t xml:space="preserve">476,195</w:t>
            </w:r>
          </w:p>
        </w:tc>
        <w:tc>
          <w:tcPr/>
          <w:p>
            <w:pPr>
              <w:pStyle w:val="Compact"/>
              <w:jc w:val="right"/>
            </w:pPr>
            <w:r>
              <w:t xml:space="preserve">1.50</w:t>
            </w:r>
          </w:p>
        </w:tc>
        <w:tc>
          <w:tcPr/>
          <w:p>
            <w:pPr>
              <w:pStyle w:val="Compact"/>
              <w:jc w:val="right"/>
            </w:pPr>
            <w:r>
              <w:t xml:space="preserve">76.1</w:t>
            </w:r>
          </w:p>
        </w:tc>
        <w:tc>
          <w:tcPr/>
          <w:p>
            <w:pPr>
              <w:pStyle w:val="Compact"/>
              <w:jc w:val="right"/>
            </w:pPr>
            <w:r>
              <w:t xml:space="preserve">78.2</w:t>
            </w:r>
          </w:p>
        </w:tc>
        <w:tc>
          <w:tcPr/>
          <w:p>
            <w:pPr>
              <w:pStyle w:val="Compact"/>
              <w:jc w:val="right"/>
            </w:pPr>
            <w:r>
              <w:t xml:space="preserve">2.14</w:t>
            </w:r>
          </w:p>
        </w:tc>
        <w:tc>
          <w:tcPr/>
          <w:p>
            <w:pPr>
              <w:pStyle w:val="Compact"/>
              <w:jc w:val="right"/>
            </w:pPr>
            <w:r>
              <w:t xml:space="preserve">4.52</w:t>
            </w:r>
          </w:p>
        </w:tc>
      </w:tr>
    </w:tbl>
    <w:p>
      <w:pPr>
        <w:pStyle w:val="BodyText"/>
      </w:pPr>
      <w:r>
        <w:rPr>
          <w:b/>
          <w:bCs/>
        </w:rPr>
        <w:t xml:space="preserve">Table A4.</w:t>
      </w:r>
      <w:r>
        <w:t xml:space="preserve"> </w:t>
      </w:r>
      <w:r>
        <w:t xml:space="preserve">Decomposition of the concentration indices.</w:t>
      </w:r>
    </w:p>
    <w:p>
      <w:pPr>
        <w:pStyle w:val="BodyText"/>
      </w:pPr>
      <w:r>
        <w:rPr>
          <w:i/>
          <w:iCs/>
        </w:rPr>
        <w:t xml:space="preserve">Descriptive, not causal. Contributions are in index units; shares are not shown for the budget-share index because it is not distinguishable from zero and shares of a near-zero total are not interpretable.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0.0063</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-0.0026</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-0.0061</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0.0539</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-0.0074</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-0.0012</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-0.0552</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-0.0027</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0.0076</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-0.0038</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0.0731</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-0.0040</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0.2043</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-0.0002</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0.0079</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-0.0022</w:t>
            </w:r>
          </w:p>
        </w:tc>
      </w:tr>
      <w:tr>
        <w:tc>
          <w:tcPr/>
          <w:p>
            <w:pPr>
              <w:pStyle w:val="Compact"/>
            </w:pPr>
            <w:r>
              <w:t xml:space="preserve">CHE, budget share &gt; 10%</w:t>
            </w:r>
          </w:p>
        </w:tc>
        <w:tc>
          <w:tcPr/>
          <w:p>
            <w:pPr>
              <w:pStyle w:val="Compact"/>
              <w:jc w:val="right"/>
            </w:pPr>
            <w:r>
              <w:t xml:space="preserve">Hospitalization in past year</w:t>
            </w:r>
          </w:p>
        </w:tc>
        <w:tc>
          <w:tcPr/>
          <w:p>
            <w:pPr>
              <w:pStyle w:val="Compact"/>
              <w:jc w:val="right"/>
            </w:pPr>
            <w:r>
              <w:t xml:space="preserve">0.3619</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0.0261</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-0.0234</w:t>
            </w:r>
          </w:p>
        </w:tc>
      </w:tr>
      <w:tr>
        <w:tc>
          <w:tcPr/>
          <w:p>
            <w:pPr>
              <w:pStyle w:val="Compact"/>
            </w:pPr>
            <w:r>
              <w:t xml:space="preserve">CHE, capacity to pay &gt;= 40%</w:t>
            </w:r>
          </w:p>
        </w:tc>
        <w:tc>
          <w:tcPr/>
          <w:p>
            <w:pPr>
              <w:pStyle w:val="Compact"/>
              <w:jc w:val="right"/>
            </w:pPr>
            <w:r>
              <w:t xml:space="preserve">Rural</w:t>
            </w:r>
          </w:p>
        </w:tc>
        <w:tc>
          <w:tcPr/>
          <w:p>
            <w:pPr>
              <w:pStyle w:val="Compact"/>
              <w:jc w:val="right"/>
            </w:pPr>
            <w:r>
              <w:t xml:space="preserve">0.0257</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-0.0188</w:t>
            </w:r>
          </w:p>
        </w:tc>
      </w:tr>
      <w:tr>
        <w:tc>
          <w:tcPr/>
          <w:p>
            <w:pPr>
              <w:pStyle w:val="Compact"/>
            </w:pPr>
            <w:r>
              <w:t xml:space="preserve">CHE, capacity to pay &gt;= 40%</w:t>
            </w:r>
          </w:p>
        </w:tc>
        <w:tc>
          <w:tcPr/>
          <w:p>
            <w:pPr>
              <w:pStyle w:val="Compact"/>
              <w:jc w:val="right"/>
            </w:pPr>
            <w:r>
              <w:t xml:space="preserve">Household size</w:t>
            </w:r>
          </w:p>
        </w:tc>
        <w:tc>
          <w:tcPr/>
          <w:p>
            <w:pPr>
              <w:pStyle w:val="Compact"/>
              <w:jc w:val="right"/>
            </w:pPr>
            <w:r>
              <w:t xml:space="preserve">-0.0020</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0.0322</w:t>
            </w:r>
          </w:p>
        </w:tc>
      </w:tr>
      <w:tr>
        <w:tc>
          <w:tcPr/>
          <w:p>
            <w:pPr>
              <w:pStyle w:val="Compact"/>
            </w:pPr>
            <w:r>
              <w:t xml:space="preserve">CHE, capacity to pay &gt;= 40%</w:t>
            </w:r>
          </w:p>
        </w:tc>
        <w:tc>
          <w:tcPr/>
          <w:p>
            <w:pPr>
              <w:pStyle w:val="Compact"/>
              <w:jc w:val="right"/>
            </w:pPr>
            <w:r>
              <w:t xml:space="preserve">Female head</w:t>
            </w:r>
          </w:p>
        </w:tc>
        <w:tc>
          <w:tcPr/>
          <w:p>
            <w:pPr>
              <w:pStyle w:val="Compact"/>
              <w:jc w:val="right"/>
            </w:pPr>
            <w:r>
              <w:t xml:space="preserve">-0.0068</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-0.0020</w:t>
            </w:r>
          </w:p>
        </w:tc>
      </w:tr>
      <w:tr>
        <w:tc>
          <w:tcPr/>
          <w:p>
            <w:pPr>
              <w:pStyle w:val="Compact"/>
            </w:pPr>
            <w:r>
              <w:t xml:space="preserve">CHE, capacity to pay &gt;= 40%</w:t>
            </w:r>
          </w:p>
        </w:tc>
        <w:tc>
          <w:tcPr/>
          <w:p>
            <w:pPr>
              <w:pStyle w:val="Compact"/>
              <w:jc w:val="right"/>
            </w:pPr>
            <w:r>
              <w:t xml:space="preserve">Head aged 60+</w:t>
            </w:r>
          </w:p>
        </w:tc>
        <w:tc>
          <w:tcPr/>
          <w:p>
            <w:pPr>
              <w:pStyle w:val="Compact"/>
              <w:jc w:val="right"/>
            </w:pPr>
            <w:r>
              <w:t xml:space="preserve">-0.0483</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-0.0042</w:t>
            </w:r>
          </w:p>
        </w:tc>
      </w:tr>
      <w:tr>
        <w:tc>
          <w:tcPr/>
          <w:p>
            <w:pPr>
              <w:pStyle w:val="Compact"/>
            </w:pPr>
            <w:r>
              <w:t xml:space="preserve">CHE, capacity to pay &gt;= 40%</w:t>
            </w:r>
          </w:p>
        </w:tc>
        <w:tc>
          <w:tcPr/>
          <w:p>
            <w:pPr>
              <w:pStyle w:val="Compact"/>
              <w:jc w:val="right"/>
            </w:pPr>
            <w:r>
              <w:t xml:space="preserve">Any child under 5</w:t>
            </w:r>
          </w:p>
        </w:tc>
        <w:tc>
          <w:tcPr/>
          <w:p>
            <w:pPr>
              <w:pStyle w:val="Compact"/>
              <w:jc w:val="right"/>
            </w:pPr>
            <w:r>
              <w:t xml:space="preserve">0.0054</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-0.0048</w:t>
            </w:r>
          </w:p>
        </w:tc>
      </w:tr>
      <w:tr>
        <w:tc>
          <w:tcPr/>
          <w:p>
            <w:pPr>
              <w:pStyle w:val="Compact"/>
            </w:pPr>
            <w:r>
              <w:t xml:space="preserve">CHE, capacity to pay &gt;= 40%</w:t>
            </w:r>
          </w:p>
        </w:tc>
        <w:tc>
          <w:tcPr/>
          <w:p>
            <w:pPr>
              <w:pStyle w:val="Compact"/>
              <w:jc w:val="right"/>
            </w:pPr>
            <w:r>
              <w:t xml:space="preserve">Any member 60+</w:t>
            </w:r>
          </w:p>
        </w:tc>
        <w:tc>
          <w:tcPr/>
          <w:p>
            <w:pPr>
              <w:pStyle w:val="Compact"/>
              <w:jc w:val="right"/>
            </w:pPr>
            <w:r>
              <w:t xml:space="preserve">0.0629</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-0.0061</w:t>
            </w:r>
          </w:p>
        </w:tc>
      </w:tr>
      <w:tr>
        <w:tc>
          <w:tcPr/>
          <w:p>
            <w:pPr>
              <w:pStyle w:val="Compact"/>
            </w:pPr>
            <w:r>
              <w:t xml:space="preserve">CHE, capacity to pay &gt;= 40%</w:t>
            </w:r>
          </w:p>
        </w:tc>
        <w:tc>
          <w:tcPr/>
          <w:p>
            <w:pPr>
              <w:pStyle w:val="Compact"/>
              <w:jc w:val="right"/>
            </w:pPr>
            <w:r>
              <w:t xml:space="preserve">Severe functional difficulty</w:t>
            </w:r>
          </w:p>
        </w:tc>
        <w:tc>
          <w:tcPr/>
          <w:p>
            <w:pPr>
              <w:pStyle w:val="Compact"/>
              <w:jc w:val="right"/>
            </w:pPr>
            <w:r>
              <w:t xml:space="preserve">0.1677</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-0.0003</w:t>
            </w:r>
          </w:p>
        </w:tc>
      </w:tr>
      <w:tr>
        <w:tc>
          <w:tcPr/>
          <w:p>
            <w:pPr>
              <w:pStyle w:val="Compact"/>
            </w:pPr>
            <w:r>
              <w:t xml:space="preserve">CHE, capacity to pay &gt;= 40%</w:t>
            </w:r>
          </w:p>
        </w:tc>
        <w:tc>
          <w:tcPr/>
          <w:p>
            <w:pPr>
              <w:pStyle w:val="Compact"/>
              <w:jc w:val="right"/>
            </w:pPr>
            <w:r>
              <w:t xml:space="preserve">Informal sector</w:t>
            </w:r>
          </w:p>
        </w:tc>
        <w:tc>
          <w:tcPr/>
          <w:p>
            <w:pPr>
              <w:pStyle w:val="Compact"/>
              <w:jc w:val="right"/>
            </w:pPr>
            <w:r>
              <w:t xml:space="preserve">0.0288</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-0.0145</w:t>
            </w:r>
          </w:p>
        </w:tc>
      </w:tr>
      <w:tr>
        <w:tc>
          <w:tcPr/>
          <w:p>
            <w:pPr>
              <w:pStyle w:val="Compact"/>
            </w:pPr>
            <w:r>
              <w:t xml:space="preserve">CHE, capacity to pay &gt;= 40%</w:t>
            </w:r>
          </w:p>
        </w:tc>
        <w:tc>
          <w:tcPr/>
          <w:p>
            <w:pPr>
              <w:pStyle w:val="Compact"/>
              <w:jc w:val="right"/>
            </w:pPr>
            <w:r>
              <w:t xml:space="preserve">Hospitalization in past year</w:t>
            </w:r>
          </w:p>
        </w:tc>
        <w:tc>
          <w:tcPr/>
          <w:p>
            <w:pPr>
              <w:pStyle w:val="Compact"/>
              <w:jc w:val="right"/>
            </w:pPr>
            <w:r>
              <w:t xml:space="preserve">0.1900</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0.0245</w:t>
            </w:r>
          </w:p>
        </w:tc>
      </w:tr>
      <w:tr>
        <w:tc>
          <w:tcPr/>
          <w:p>
            <w:pPr>
              <w:pStyle w:val="Compact"/>
            </w:pPr>
            <w:r>
              <w:t xml:space="preserve">CHE, capacity to pay &gt;= 40%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-0.1562</w:t>
            </w:r>
          </w:p>
        </w:tc>
      </w:tr>
    </w:tbl>
    <w:p>
      <w:pPr>
        <w:pStyle w:val="BodyText"/>
      </w:pPr>
      <w:r>
        <w:rPr>
          <w:b/>
          <w:bCs/>
        </w:rPr>
        <w:t xml:space="preserve">Table A5.</w:t>
      </w:r>
      <w:r>
        <w:t xml:space="preserve"> </w:t>
      </w:r>
      <w:r>
        <w:t xml:space="preserve">Gross premium by pool size, risk margins, risk relativities and the comparison with a published state-scheme rate.</w:t>
      </w:r>
    </w:p>
    <w:p>
      <w:pPr>
        <w:pStyle w:val="BodyText"/>
      </w:pPr>
      <w:r>
        <w:rPr>
          <w:i/>
          <w:iCs/>
        </w:rPr>
        <w:t xml:space="preserve">Relativities are relative to the community average; the premium itself is community-rated. The Lagos comparison is a plausibility check: the Ilera Eko package is not the NHIA basic package, and its rates are nominal July-2024 naira.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Risk margin</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161</w:t>
            </w:r>
          </w:p>
        </w:tc>
        <w:tc>
          <w:tcPr/>
          <w:p>
            <w:pPr>
              <w:pStyle w:val="Compact"/>
              <w:jc w:val="right"/>
            </w:pPr>
            <w:r>
              <w:t xml:space="preserve">27,349</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3,528</w:t>
            </w:r>
          </w:p>
        </w:tc>
        <w:tc>
          <w:tcPr/>
          <w:p>
            <w:pPr>
              <w:pStyle w:val="Compact"/>
              <w:jc w:val="right"/>
            </w:pPr>
            <w:r>
              <w:t xml:space="preserve">31,608</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81</w:t>
            </w:r>
          </w:p>
        </w:tc>
        <w:tc>
          <w:tcPr/>
          <w:p>
            <w:pPr>
              <w:pStyle w:val="Compact"/>
              <w:jc w:val="right"/>
            </w:pPr>
            <w:r>
              <w:t xml:space="preserve">27,247</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1,812</w:t>
            </w:r>
          </w:p>
        </w:tc>
        <w:tc>
          <w:tcPr/>
          <w:p>
            <w:pPr>
              <w:pStyle w:val="Compact"/>
              <w:jc w:val="right"/>
            </w:pPr>
            <w:r>
              <w:t xml:space="preserve">29,437</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36</w:t>
            </w:r>
          </w:p>
        </w:tc>
        <w:tc>
          <w:tcPr/>
          <w:p>
            <w:pPr>
              <w:pStyle w:val="Compact"/>
              <w:jc w:val="right"/>
            </w:pPr>
            <w:r>
              <w:t xml:space="preserve">27,191</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748</w:t>
            </w:r>
          </w:p>
        </w:tc>
        <w:tc>
          <w:tcPr/>
          <w:p>
            <w:pPr>
              <w:pStyle w:val="Compact"/>
              <w:jc w:val="right"/>
            </w:pPr>
            <w:r>
              <w:t xml:space="preserve">28,092</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161</w:t>
            </w:r>
          </w:p>
        </w:tc>
        <w:tc>
          <w:tcPr/>
          <w:p>
            <w:pPr>
              <w:pStyle w:val="Compact"/>
              <w:jc w:val="right"/>
            </w:pPr>
            <w:r>
              <w:t xml:space="preserve">3,528</w:t>
            </w:r>
          </w:p>
        </w:tc>
        <w:tc>
          <w:tcPr/>
          <w:p>
            <w:pPr>
              <w:pStyle w:val="Compact"/>
              <w:jc w:val="right"/>
            </w:pPr>
            <w:r>
              <w:t xml:space="preserve">1,578</w:t>
            </w:r>
          </w:p>
        </w:tc>
      </w:tr>
      <w:tr>
        <w:tc>
          <w:tcPr/>
          <w:p>
            <w:pPr>
              <w:pStyle w:val="Compact"/>
            </w:pPr>
            <w:r>
              <w:t xml:space="preserve">20,000</w:t>
            </w:r>
          </w:p>
        </w:tc>
        <w:tc>
          <w:tcPr/>
          <w:p>
            <w:pPr>
              <w:pStyle w:val="Compact"/>
              <w:jc w:val="right"/>
            </w:pPr>
            <w:r>
              <w:t xml:space="preserve">81</w:t>
            </w:r>
          </w:p>
        </w:tc>
        <w:tc>
          <w:tcPr/>
          <w:p>
            <w:pPr>
              <w:pStyle w:val="Compact"/>
              <w:jc w:val="right"/>
            </w:pPr>
            <w:r>
              <w:t xml:space="preserve">1,812</w:t>
            </w:r>
          </w:p>
        </w:tc>
        <w:tc>
          <w:tcPr/>
          <w:p>
            <w:pPr>
              <w:pStyle w:val="Compact"/>
              <w:jc w:val="right"/>
            </w:pPr>
            <w:r>
              <w:t xml:space="preserve">820</w:t>
            </w:r>
          </w:p>
        </w:tc>
      </w:tr>
      <w:tr>
        <w:tc>
          <w:tcPr/>
          <w:p>
            <w:pPr>
              <w:pStyle w:val="Compact"/>
            </w:pPr>
            <w:r>
              <w:t xml:space="preserve">100,000</w:t>
            </w:r>
          </w:p>
        </w:tc>
        <w:tc>
          <w:tcPr/>
          <w:p>
            <w:pPr>
              <w:pStyle w:val="Compact"/>
              <w:jc w:val="right"/>
            </w:pPr>
            <w:r>
              <w:t xml:space="preserve">36</w:t>
            </w:r>
          </w:p>
        </w:tc>
        <w:tc>
          <w:tcPr/>
          <w:p>
            <w:pPr>
              <w:pStyle w:val="Compact"/>
              <w:jc w:val="right"/>
            </w:pPr>
            <w:r>
              <w:t xml:space="preserve">748</w:t>
            </w:r>
          </w:p>
        </w:tc>
        <w:tc>
          <w:tcPr/>
          <w:p>
            <w:pPr>
              <w:pStyle w:val="Compact"/>
              <w:jc w:val="right"/>
            </w:pPr>
            <w:r>
              <w:t xml:space="preserve">355</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1,674</w:t>
            </w:r>
          </w:p>
        </w:tc>
        <w:tc>
          <w:tcPr/>
          <w:p>
            <w:pPr>
              <w:pStyle w:val="Compact"/>
              <w:jc w:val="right"/>
            </w:pPr>
            <w:r>
              <w:t xml:space="preserve">10,898</w:t>
            </w:r>
          </w:p>
        </w:tc>
        <w:tc>
          <w:tcPr/>
          <w:p>
            <w:pPr>
              <w:pStyle w:val="Compact"/>
              <w:jc w:val="right"/>
            </w:pPr>
            <w:r>
              <w:t xml:space="preserve">0.51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5,268</w:t>
            </w:r>
          </w:p>
        </w:tc>
        <w:tc>
          <w:tcPr/>
          <w:p>
            <w:pPr>
              <w:pStyle w:val="Compact"/>
              <w:jc w:val="right"/>
            </w:pPr>
            <w:r>
              <w:t xml:space="preserve">9,400</w:t>
            </w:r>
          </w:p>
        </w:tc>
        <w:tc>
          <w:tcPr/>
          <w:p>
            <w:pPr>
              <w:pStyle w:val="Compact"/>
              <w:jc w:val="right"/>
            </w:pPr>
            <w:r>
              <w:t xml:space="preserve">0.44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5,326</w:t>
            </w:r>
          </w:p>
        </w:tc>
        <w:tc>
          <w:tcPr/>
          <w:p>
            <w:pPr>
              <w:pStyle w:val="Compact"/>
              <w:jc w:val="right"/>
            </w:pPr>
            <w:r>
              <w:t xml:space="preserve">28,985</w:t>
            </w:r>
          </w:p>
        </w:tc>
        <w:tc>
          <w:tcPr/>
          <w:p>
            <w:pPr>
              <w:pStyle w:val="Compact"/>
              <w:jc w:val="right"/>
            </w:pPr>
            <w:r>
              <w:t xml:space="preserve">1.35</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2,810</w:t>
            </w:r>
          </w:p>
        </w:tc>
        <w:tc>
          <w:tcPr/>
          <w:p>
            <w:pPr>
              <w:pStyle w:val="Compact"/>
              <w:jc w:val="right"/>
            </w:pPr>
            <w:r>
              <w:t xml:space="preserve">34,581</w:t>
            </w:r>
          </w:p>
        </w:tc>
        <w:tc>
          <w:tcPr/>
          <w:p>
            <w:pPr>
              <w:pStyle w:val="Compact"/>
              <w:jc w:val="right"/>
            </w:pPr>
            <w:r>
              <w:t xml:space="preserve">1.61</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7,492</w:t>
            </w:r>
          </w:p>
        </w:tc>
        <w:tc>
          <w:tcPr/>
          <w:p>
            <w:pPr>
              <w:pStyle w:val="Compact"/>
              <w:jc w:val="right"/>
            </w:pPr>
            <w:r>
              <w:t xml:space="preserve">9,144</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2,059</w:t>
            </w:r>
          </w:p>
        </w:tc>
        <w:tc>
          <w:tcPr/>
          <w:p>
            <w:pPr>
              <w:pStyle w:val="Compact"/>
              <w:jc w:val="right"/>
            </w:pPr>
            <w:r>
              <w:t xml:space="preserve">71,110</w:t>
            </w:r>
          </w:p>
        </w:tc>
        <w:tc>
          <w:tcPr/>
          <w:p>
            <w:pPr>
              <w:pStyle w:val="Compact"/>
              <w:jc w:val="right"/>
            </w:pPr>
            <w:r>
              <w:t xml:space="preserve">3.31</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12,414</w:t>
            </w:r>
          </w:p>
        </w:tc>
        <w:tc>
          <w:tcPr/>
          <w:p>
            <w:pPr>
              <w:pStyle w:val="Compact"/>
              <w:jc w:val="right"/>
            </w:pPr>
            <w:r>
              <w:t xml:space="preserve">21,661</w:t>
            </w:r>
          </w:p>
        </w:tc>
        <w:tc>
          <w:tcPr/>
          <w:p>
            <w:pPr>
              <w:pStyle w:val="Compact"/>
              <w:jc w:val="right"/>
            </w:pPr>
            <w:r>
              <w:t xml:space="preserve">1.01</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12,215</w:t>
            </w:r>
          </w:p>
        </w:tc>
        <w:tc>
          <w:tcPr/>
          <w:p>
            <w:pPr>
              <w:pStyle w:val="Compact"/>
              <w:jc w:val="right"/>
            </w:pPr>
            <w:r>
              <w:t xml:space="preserve">21,244</w:t>
            </w:r>
          </w:p>
        </w:tc>
        <w:tc>
          <w:tcPr/>
          <w:p>
            <w:pPr>
              <w:pStyle w:val="Compact"/>
              <w:jc w:val="right"/>
            </w:pPr>
            <w:r>
              <w:t xml:space="preserve">0.99</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17,413</w:t>
            </w:r>
          </w:p>
        </w:tc>
        <w:tc>
          <w:tcPr/>
          <w:p>
            <w:pPr>
              <w:pStyle w:val="Compact"/>
              <w:jc w:val="right"/>
            </w:pPr>
            <w:r>
              <w:t xml:space="preserve">20,551</w:t>
            </w:r>
          </w:p>
        </w:tc>
        <w:tc>
          <w:tcPr/>
          <w:p>
            <w:pPr>
              <w:pStyle w:val="Compact"/>
              <w:jc w:val="right"/>
            </w:pPr>
            <w:r>
              <w:t xml:space="preserve">0.96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7,216</w:t>
            </w:r>
          </w:p>
        </w:tc>
        <w:tc>
          <w:tcPr/>
          <w:p>
            <w:pPr>
              <w:pStyle w:val="Compact"/>
              <w:jc w:val="right"/>
            </w:pPr>
            <w:r>
              <w:t xml:space="preserve">23,045</w:t>
            </w:r>
          </w:p>
        </w:tc>
        <w:tc>
          <w:tcPr/>
          <w:p>
            <w:pPr>
              <w:pStyle w:val="Compact"/>
              <w:jc w:val="right"/>
            </w:pPr>
            <w:r>
              <w:t xml:space="preserve">1.07</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5,642</w:t>
            </w:r>
          </w:p>
        </w:tc>
        <w:tc>
          <w:tcPr/>
          <w:p>
            <w:pPr>
              <w:pStyle w:val="Compact"/>
              <w:jc w:val="right"/>
            </w:pPr>
            <w:r>
              <w:t xml:space="preserve">5,618</w:t>
            </w:r>
          </w:p>
        </w:tc>
        <w:tc>
          <w:tcPr/>
          <w:p>
            <w:pPr>
              <w:pStyle w:val="Compact"/>
              <w:jc w:val="right"/>
            </w:pPr>
            <w:r>
              <w:t xml:space="preserve">0.26</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5,062</w:t>
            </w:r>
          </w:p>
        </w:tc>
        <w:tc>
          <w:tcPr/>
          <w:p>
            <w:pPr>
              <w:pStyle w:val="Compact"/>
              <w:jc w:val="right"/>
            </w:pPr>
            <w:r>
              <w:t xml:space="preserve">10,337</w:t>
            </w:r>
          </w:p>
        </w:tc>
        <w:tc>
          <w:tcPr/>
          <w:p>
            <w:pPr>
              <w:pStyle w:val="Compact"/>
              <w:jc w:val="right"/>
            </w:pPr>
            <w:r>
              <w:t xml:space="preserve">0.48</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4,874</w:t>
            </w:r>
          </w:p>
        </w:tc>
        <w:tc>
          <w:tcPr/>
          <w:p>
            <w:pPr>
              <w:pStyle w:val="Compact"/>
              <w:jc w:val="right"/>
            </w:pPr>
            <w:r>
              <w:t xml:space="preserve">13,540</w:t>
            </w:r>
          </w:p>
        </w:tc>
        <w:tc>
          <w:tcPr/>
          <w:p>
            <w:pPr>
              <w:pStyle w:val="Compact"/>
              <w:jc w:val="right"/>
            </w:pPr>
            <w:r>
              <w:t xml:space="preserve">0.63</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4,886</w:t>
            </w:r>
          </w:p>
        </w:tc>
        <w:tc>
          <w:tcPr/>
          <w:p>
            <w:pPr>
              <w:pStyle w:val="Compact"/>
              <w:jc w:val="right"/>
            </w:pPr>
            <w:r>
              <w:t xml:space="preserve">22,696</w:t>
            </w:r>
          </w:p>
        </w:tc>
        <w:tc>
          <w:tcPr/>
          <w:p>
            <w:pPr>
              <w:pStyle w:val="Compact"/>
              <w:jc w:val="right"/>
            </w:pPr>
            <w:r>
              <w:t xml:space="preserve">1.06</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4,165</w:t>
            </w:r>
          </w:p>
        </w:tc>
        <w:tc>
          <w:tcPr/>
          <w:p>
            <w:pPr>
              <w:pStyle w:val="Compact"/>
              <w:jc w:val="right"/>
            </w:pPr>
            <w:r>
              <w:t xml:space="preserve">55,058</w:t>
            </w:r>
          </w:p>
        </w:tc>
        <w:tc>
          <w:tcPr/>
          <w:p>
            <w:pPr>
              <w:pStyle w:val="Compact"/>
              <w:jc w:val="right"/>
            </w:pPr>
            <w:r>
              <w:t xml:space="preserve">2.57</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24,071</w:t>
            </w:r>
          </w:p>
        </w:tc>
        <w:tc>
          <w:tcPr/>
          <w:p>
            <w:pPr>
              <w:pStyle w:val="Compact"/>
              <w:jc w:val="right"/>
            </w:pPr>
            <w:r>
              <w:t xml:space="preserve">18,966</w:t>
            </w:r>
          </w:p>
        </w:tc>
        <w:tc>
          <w:tcPr/>
          <w:p>
            <w:pPr>
              <w:pStyle w:val="Compact"/>
              <w:jc w:val="right"/>
            </w:pPr>
            <w:r>
              <w:t xml:space="preserve">0.88</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558</w:t>
            </w:r>
          </w:p>
        </w:tc>
        <w:tc>
          <w:tcPr/>
          <w:p>
            <w:pPr>
              <w:pStyle w:val="Compact"/>
              <w:jc w:val="right"/>
            </w:pPr>
            <w:r>
              <w:t xml:space="preserve">138,299</w:t>
            </w:r>
          </w:p>
        </w:tc>
        <w:tc>
          <w:tcPr/>
          <w:p>
            <w:pPr>
              <w:pStyle w:val="Compact"/>
              <w:jc w:val="right"/>
            </w:pPr>
            <w:r>
              <w:t xml:space="preserve">6.44</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4,588</w:t>
            </w:r>
          </w:p>
        </w:tc>
        <w:tc>
          <w:tcPr/>
          <w:p>
            <w:pPr>
              <w:pStyle w:val="Compact"/>
              <w:jc w:val="right"/>
            </w:pPr>
            <w:r>
              <w:t xml:space="preserve">21,926</w:t>
            </w:r>
          </w:p>
        </w:tc>
        <w:tc>
          <w:tcPr/>
          <w:p>
            <w:pPr>
              <w:pStyle w:val="Compact"/>
              <w:jc w:val="right"/>
            </w:pPr>
            <w:r>
              <w:t xml:space="preserve">1.02</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20,041</w:t>
            </w:r>
          </w:p>
        </w:tc>
        <w:tc>
          <w:tcPr/>
          <w:p>
            <w:pPr>
              <w:pStyle w:val="Compact"/>
              <w:jc w:val="right"/>
            </w:pPr>
            <w:r>
              <w:t xml:space="preserve">21,342</w:t>
            </w:r>
          </w:p>
        </w:tc>
        <w:tc>
          <w:tcPr/>
          <w:p>
            <w:pPr>
              <w:pStyle w:val="Compact"/>
              <w:jc w:val="right"/>
            </w:pPr>
            <w:r>
              <w:t xml:space="preserve">0.99</w:t>
            </w:r>
          </w:p>
        </w:tc>
      </w:tr>
    </w:tbl>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Scheme</w:t>
            </w:r>
          </w:p>
        </w:tc>
        <w:tc>
          <w:tcPr/>
          <w:p>
            <w:pPr>
              <w:pStyle w:val="Compact"/>
              <w:jc w:val="right"/>
            </w:pPr>
            <w:r>
              <w:t xml:space="preserve">Published premium</w:t>
            </w:r>
          </w:p>
        </w:tc>
        <w:tc>
          <w:tcPr/>
          <w:p>
            <w:pPr>
              <w:pStyle w:val="Compact"/>
              <w:jc w:val="right"/>
            </w:pPr>
            <w:r>
              <w:t xml:space="preserve">Modeled premium</w:t>
            </w:r>
          </w:p>
        </w:tc>
        <w:tc>
          <w:tcPr/>
          <w:p>
            <w:pPr>
              <w:pStyle w:val="Compact"/>
              <w:jc w:val="right"/>
            </w:pPr>
            <w:r>
              <w:t xml:space="preserve">Ratio</w:t>
            </w:r>
          </w:p>
        </w:tc>
      </w:tr>
      <w:tr>
        <w:tc>
          <w:tcPr/>
          <w:p>
            <w:pPr>
              <w:pStyle w:val="Compact"/>
            </w:pPr>
            <w:r>
              <w:t xml:space="preserve">Lagos LASHMA</w:t>
            </w:r>
            <w:r>
              <w:t xml:space="preserve"> </w:t>
            </w:r>
            <w:r>
              <w:t xml:space="preserve">‘Ilera Eko’</w:t>
            </w:r>
            <w:r>
              <w:t xml:space="preserve"> </w:t>
            </w:r>
            <w:r>
              <w:t xml:space="preserve">Standard, individual</w:t>
            </w:r>
          </w:p>
        </w:tc>
        <w:tc>
          <w:tcPr/>
          <w:p>
            <w:pPr>
              <w:pStyle w:val="Compact"/>
              <w:jc w:val="right"/>
            </w:pPr>
            <w:r>
              <w:t xml:space="preserve">15,000</w:t>
            </w:r>
          </w:p>
        </w:tc>
        <w:tc>
          <w:tcPr/>
          <w:p>
            <w:pPr>
              <w:pStyle w:val="Compact"/>
              <w:jc w:val="right"/>
            </w:pPr>
            <w:r>
              <w:t xml:space="preserve">27,247</w:t>
            </w:r>
          </w:p>
        </w:tc>
        <w:tc>
          <w:tcPr/>
          <w:p>
            <w:pPr>
              <w:pStyle w:val="Compact"/>
              <w:jc w:val="right"/>
            </w:pPr>
            <w:r>
              <w:t xml:space="preserve">1.82</w:t>
            </w:r>
          </w:p>
        </w:tc>
      </w:tr>
      <w:tr>
        <w:tc>
          <w:tcPr/>
          <w:p>
            <w:pPr>
              <w:pStyle w:val="Compact"/>
            </w:pPr>
            <w:r>
              <w:t xml:space="preserve">Lagos LASHMA</w:t>
            </w:r>
            <w:r>
              <w:t xml:space="preserve"> </w:t>
            </w:r>
            <w:r>
              <w:t xml:space="preserve">‘Ilera Eko’</w:t>
            </w:r>
            <w:r>
              <w:t xml:space="preserve"> </w:t>
            </w:r>
            <w:r>
              <w:t xml:space="preserve">Standard, family of four</w:t>
            </w:r>
          </w:p>
        </w:tc>
        <w:tc>
          <w:tcPr/>
          <w:p>
            <w:pPr>
              <w:pStyle w:val="Compact"/>
              <w:jc w:val="right"/>
            </w:pPr>
            <w:r>
              <w:t xml:space="preserve">55,000</w:t>
            </w:r>
          </w:p>
        </w:tc>
        <w:tc>
          <w:tcPr/>
          <w:p>
            <w:pPr>
              <w:pStyle w:val="Compact"/>
              <w:jc w:val="right"/>
            </w:pPr>
            <w:r>
              <w:t xml:space="preserve">27,247</w:t>
            </w:r>
          </w:p>
        </w:tc>
        <w:tc>
          <w:tcPr/>
          <w:p>
            <w:pPr>
              <w:pStyle w:val="Compact"/>
              <w:jc w:val="right"/>
            </w:pPr>
            <w:r>
              <w:t xml:space="preserve">0.50</w:t>
            </w:r>
          </w:p>
        </w:tc>
      </w:tr>
      <w:tr>
        <w:tc>
          <w:tcPr/>
          <w:p>
            <w:pPr>
              <w:pStyle w:val="Compact"/>
            </w:pPr>
            <w:r>
              <w:t xml:space="preserve">Lagos LASHMA</w:t>
            </w:r>
            <w:r>
              <w:t xml:space="preserve"> </w:t>
            </w:r>
            <w:r>
              <w:t xml:space="preserve">‘Ilera Eko’</w:t>
            </w:r>
            <w:r>
              <w:t xml:space="preserve"> </w:t>
            </w:r>
            <w:r>
              <w:t xml:space="preserve">Standard, family of six</w:t>
            </w:r>
          </w:p>
        </w:tc>
        <w:tc>
          <w:tcPr/>
          <w:p>
            <w:pPr>
              <w:pStyle w:val="Compact"/>
              <w:jc w:val="right"/>
            </w:pPr>
            <w:r>
              <w:t xml:space="preserve">80,000</w:t>
            </w:r>
          </w:p>
        </w:tc>
        <w:tc>
          <w:tcPr/>
          <w:p>
            <w:pPr>
              <w:pStyle w:val="Compact"/>
              <w:jc w:val="right"/>
            </w:pPr>
            <w:r>
              <w:t xml:space="preserve">27,247</w:t>
            </w:r>
          </w:p>
        </w:tc>
        <w:tc>
          <w:tcPr/>
          <w:p>
            <w:pPr>
              <w:pStyle w:val="Compact"/>
              <w:jc w:val="right"/>
            </w:pPr>
            <w:r>
              <w:t xml:space="preserve">0.34</w:t>
            </w:r>
          </w:p>
        </w:tc>
      </w:tr>
    </w:tbl>
    <w:p>
      <w:pPr>
        <w:pStyle w:val="BodyText"/>
      </w:pPr>
      <w:r>
        <w:rPr>
          <w:b/>
          <w:bCs/>
        </w:rPr>
        <w:t xml:space="preserve">Table A6.</w:t>
      </w:r>
      <w:r>
        <w:t xml:space="preserve"> </w:t>
      </w:r>
      <w:r>
        <w:t xml:space="preserve">Frequency, severity and Tweedie model estimates, as multiplicative effects on the fitted mean.</w:t>
      </w:r>
    </w:p>
    <w:p>
      <w:pPr>
        <w:pStyle w:val="BodyText"/>
      </w:pPr>
      <w:r>
        <w:rPr>
          <w:i/>
          <w:iCs/>
        </w:rPr>
        <w:t xml:space="preserve">exp(coef);</w:t>
      </w:r>
      <w:r>
        <w:rPr>
          <w:i/>
          <w:iCs/>
        </w:rPr>
        <w:t xml:space="preserve"> </w:t>
      </w:r>
      <w:r>
        <w:t xml:space="preserve"> </w:t>
      </w:r>
      <w:r>
        <w:t xml:space="preserve">marks p &lt; 0.05. Survey-weighted, standard errors clustered on the enumeration area. Coefficients, standard errors and z statistics are in output/tables/table4_cost_models.csv. Reference categories: age 25-44, North Central, quintile 1.*</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Term</w:t>
            </w:r>
          </w:p>
        </w:tc>
        <w:tc>
          <w:tcPr/>
          <w:p>
            <w:pPr>
              <w:pStyle w:val="Compact"/>
              <w:jc w:val="right"/>
            </w:pPr>
            <w:r>
              <w:t xml:space="preserve">Outpatient rate</w:t>
            </w:r>
          </w:p>
        </w:tc>
        <w:tc>
          <w:tcPr/>
          <w:p>
            <w:pPr>
              <w:pStyle w:val="Compact"/>
              <w:jc w:val="right"/>
            </w:pPr>
            <w:r>
              <w:t xml:space="preserve">Inpatient rate</w:t>
            </w:r>
          </w:p>
        </w:tc>
        <w:tc>
          <w:tcPr/>
          <w:p>
            <w:pPr>
              <w:pStyle w:val="Compact"/>
              <w:jc w:val="right"/>
            </w:pPr>
            <w:r>
              <w:t xml:space="preserve">Outpatient cost</w:t>
            </w:r>
          </w:p>
        </w:tc>
        <w:tc>
          <w:tcPr/>
          <w:p>
            <w:pPr>
              <w:pStyle w:val="Compact"/>
              <w:jc w:val="right"/>
            </w:pPr>
            <w:r>
              <w:t xml:space="preserve">Inpatient cost</w:t>
            </w:r>
          </w:p>
        </w:tc>
        <w:tc>
          <w:tcPr/>
          <w:p>
            <w:pPr>
              <w:pStyle w:val="Compact"/>
              <w:jc w:val="right"/>
            </w:pPr>
            <w:r>
              <w:t xml:space="preserve">Annual cost (Tweedie)</w:t>
            </w:r>
          </w:p>
        </w:tc>
      </w:tr>
      <w:tr>
        <w:tc>
          <w:tcPr/>
          <w:p>
            <w:pPr>
              <w:pStyle w:val="Compact"/>
            </w:pPr>
            <w:r>
              <w:t xml:space="preserve">Intercept</w:t>
            </w:r>
          </w:p>
        </w:tc>
        <w:tc>
          <w:tcPr/>
          <w:p>
            <w:pPr>
              <w:pStyle w:val="Compact"/>
              <w:jc w:val="right"/>
            </w:pPr>
            <w:r>
              <w:t xml:space="preserve">1.943*</w:t>
            </w:r>
          </w:p>
        </w:tc>
        <w:tc>
          <w:tcPr/>
          <w:p>
            <w:pPr>
              <w:pStyle w:val="Compact"/>
              <w:jc w:val="right"/>
            </w:pPr>
            <w:r>
              <w:t xml:space="preserve">0.018*</w:t>
            </w:r>
          </w:p>
        </w:tc>
        <w:tc>
          <w:tcPr/>
          <w:p>
            <w:pPr>
              <w:pStyle w:val="Compact"/>
              <w:jc w:val="right"/>
            </w:pPr>
            <w:r>
              <w:t xml:space="preserve">4376.717*</w:t>
            </w:r>
          </w:p>
        </w:tc>
        <w:tc>
          <w:tcPr/>
          <w:p>
            <w:pPr>
              <w:pStyle w:val="Compact"/>
              <w:jc w:val="right"/>
            </w:pPr>
            <w:r>
              <w:t xml:space="preserve">12242.037*</w:t>
            </w:r>
          </w:p>
        </w:tc>
        <w:tc>
          <w:tcPr/>
          <w:p>
            <w:pPr>
              <w:pStyle w:val="Compact"/>
              <w:jc w:val="right"/>
            </w:pPr>
            <w:r>
              <w:t xml:space="preserve">8116.020*</w:t>
            </w:r>
          </w:p>
        </w:tc>
      </w:tr>
      <w:tr>
        <w:tc>
          <w:tcPr/>
          <w:p>
            <w:pPr>
              <w:pStyle w:val="Compact"/>
            </w:pPr>
            <w:r>
              <w:t xml:space="preserve">age_band 0-4</w:t>
            </w:r>
          </w:p>
        </w:tc>
        <w:tc>
          <w:tcPr/>
          <w:p>
            <w:pPr>
              <w:pStyle w:val="Compact"/>
              <w:jc w:val="right"/>
            </w:pPr>
            <w:r>
              <w:t xml:space="preserve">1.204*</w:t>
            </w:r>
          </w:p>
        </w:tc>
        <w:tc>
          <w:tcPr/>
          <w:p>
            <w:pPr>
              <w:pStyle w:val="Compact"/>
              <w:jc w:val="right"/>
            </w:pPr>
            <w:r>
              <w:t xml:space="preserve">0.575</w:t>
            </w:r>
          </w:p>
        </w:tc>
        <w:tc>
          <w:tcPr/>
          <w:p>
            <w:pPr>
              <w:pStyle w:val="Compact"/>
              <w:jc w:val="right"/>
            </w:pPr>
            <w:r>
              <w:t xml:space="preserve">0.465*</w:t>
            </w:r>
          </w:p>
        </w:tc>
        <w:tc>
          <w:tcPr/>
          <w:p>
            <w:pPr>
              <w:pStyle w:val="Compact"/>
              <w:jc w:val="right"/>
            </w:pPr>
            <w:r>
              <w:t xml:space="preserve">0.283*</w:t>
            </w:r>
          </w:p>
        </w:tc>
        <w:tc>
          <w:tcPr/>
          <w:p>
            <w:pPr>
              <w:pStyle w:val="Compact"/>
              <w:jc w:val="right"/>
            </w:pPr>
            <w:r>
              <w:t xml:space="preserve">0.564*</w:t>
            </w:r>
          </w:p>
        </w:tc>
      </w:tr>
      <w:tr>
        <w:tc>
          <w:tcPr/>
          <w:p>
            <w:pPr>
              <w:pStyle w:val="Compact"/>
            </w:pPr>
            <w:r>
              <w:t xml:space="preserve">age_band 15-24</w:t>
            </w:r>
          </w:p>
        </w:tc>
        <w:tc>
          <w:tcPr/>
          <w:p>
            <w:pPr>
              <w:pStyle w:val="Compact"/>
              <w:jc w:val="right"/>
            </w:pPr>
            <w:r>
              <w:t xml:space="preserve">0.663*</w:t>
            </w:r>
          </w:p>
        </w:tc>
        <w:tc>
          <w:tcPr/>
          <w:p>
            <w:pPr>
              <w:pStyle w:val="Compact"/>
              <w:jc w:val="right"/>
            </w:pPr>
            <w:r>
              <w:t xml:space="preserve">0.630*</w:t>
            </w:r>
          </w:p>
        </w:tc>
        <w:tc>
          <w:tcPr/>
          <w:p>
            <w:pPr>
              <w:pStyle w:val="Compact"/>
              <w:jc w:val="right"/>
            </w:pPr>
            <w:r>
              <w:t xml:space="preserve">0.590*</w:t>
            </w:r>
          </w:p>
        </w:tc>
        <w:tc>
          <w:tcPr/>
          <w:p>
            <w:pPr>
              <w:pStyle w:val="Compact"/>
              <w:jc w:val="right"/>
            </w:pPr>
            <w:r>
              <w:t xml:space="preserve">0.407*</w:t>
            </w:r>
          </w:p>
        </w:tc>
        <w:tc>
          <w:tcPr/>
          <w:p>
            <w:pPr>
              <w:pStyle w:val="Compact"/>
              <w:jc w:val="right"/>
            </w:pPr>
            <w:r>
              <w:t xml:space="preserve">0.382*</w:t>
            </w:r>
          </w:p>
        </w:tc>
      </w:tr>
      <w:tr>
        <w:tc>
          <w:tcPr/>
          <w:p>
            <w:pPr>
              <w:pStyle w:val="Compact"/>
            </w:pPr>
            <w:r>
              <w:t xml:space="preserve">age_band 45-59</w:t>
            </w:r>
          </w:p>
        </w:tc>
        <w:tc>
          <w:tcPr/>
          <w:p>
            <w:pPr>
              <w:pStyle w:val="Compact"/>
              <w:jc w:val="right"/>
            </w:pPr>
            <w:r>
              <w:t xml:space="preserve">1.175*</w:t>
            </w:r>
          </w:p>
        </w:tc>
        <w:tc>
          <w:tcPr/>
          <w:p>
            <w:pPr>
              <w:pStyle w:val="Compact"/>
              <w:jc w:val="right"/>
            </w:pPr>
            <w:r>
              <w:t xml:space="preserve">1.138</w:t>
            </w:r>
          </w:p>
        </w:tc>
        <w:tc>
          <w:tcPr/>
          <w:p>
            <w:pPr>
              <w:pStyle w:val="Compact"/>
              <w:jc w:val="right"/>
            </w:pPr>
            <w:r>
              <w:t xml:space="preserve">0.910</w:t>
            </w:r>
          </w:p>
        </w:tc>
        <w:tc>
          <w:tcPr/>
          <w:p>
            <w:pPr>
              <w:pStyle w:val="Compact"/>
              <w:jc w:val="right"/>
            </w:pPr>
            <w:r>
              <w:t xml:space="preserve">1.510</w:t>
            </w:r>
          </w:p>
        </w:tc>
        <w:tc>
          <w:tcPr/>
          <w:p>
            <w:pPr>
              <w:pStyle w:val="Compact"/>
              <w:jc w:val="right"/>
            </w:pPr>
            <w:r>
              <w:t xml:space="preserve">1.096</w:t>
            </w:r>
          </w:p>
        </w:tc>
      </w:tr>
      <w:tr>
        <w:tc>
          <w:tcPr/>
          <w:p>
            <w:pPr>
              <w:pStyle w:val="Compact"/>
            </w:pPr>
            <w:r>
              <w:t xml:space="preserve">age_band 5-14</w:t>
            </w:r>
          </w:p>
        </w:tc>
        <w:tc>
          <w:tcPr/>
          <w:p>
            <w:pPr>
              <w:pStyle w:val="Compact"/>
              <w:jc w:val="right"/>
            </w:pPr>
            <w:r>
              <w:t xml:space="preserve">0.841*</w:t>
            </w:r>
          </w:p>
        </w:tc>
        <w:tc>
          <w:tcPr/>
          <w:p>
            <w:pPr>
              <w:pStyle w:val="Compact"/>
              <w:jc w:val="right"/>
            </w:pPr>
            <w:r>
              <w:t xml:space="preserve">0.572*</w:t>
            </w:r>
          </w:p>
        </w:tc>
        <w:tc>
          <w:tcPr/>
          <w:p>
            <w:pPr>
              <w:pStyle w:val="Compact"/>
              <w:jc w:val="right"/>
            </w:pPr>
            <w:r>
              <w:t xml:space="preserve">0.499*</w:t>
            </w:r>
          </w:p>
        </w:tc>
        <w:tc>
          <w:tcPr/>
          <w:p>
            <w:pPr>
              <w:pStyle w:val="Compact"/>
              <w:jc w:val="right"/>
            </w:pPr>
            <w:r>
              <w:t xml:space="preserve">0.734</w:t>
            </w:r>
          </w:p>
        </w:tc>
        <w:tc>
          <w:tcPr/>
          <w:p>
            <w:pPr>
              <w:pStyle w:val="Compact"/>
              <w:jc w:val="right"/>
            </w:pPr>
            <w:r>
              <w:t xml:space="preserve">0.434*</w:t>
            </w:r>
          </w:p>
        </w:tc>
      </w:tr>
      <w:tr>
        <w:tc>
          <w:tcPr/>
          <w:p>
            <w:pPr>
              <w:pStyle w:val="Compact"/>
            </w:pPr>
            <w:r>
              <w:t xml:space="preserve">age_band 60+</w:t>
            </w:r>
          </w:p>
        </w:tc>
        <w:tc>
          <w:tcPr/>
          <w:p>
            <w:pPr>
              <w:pStyle w:val="Compact"/>
              <w:jc w:val="right"/>
            </w:pPr>
            <w:r>
              <w:t xml:space="preserve">1.654*</w:t>
            </w:r>
          </w:p>
        </w:tc>
        <w:tc>
          <w:tcPr/>
          <w:p>
            <w:pPr>
              <w:pStyle w:val="Compact"/>
              <w:jc w:val="right"/>
            </w:pPr>
            <w:r>
              <w:t xml:space="preserve">1.526*</w:t>
            </w:r>
          </w:p>
        </w:tc>
        <w:tc>
          <w:tcPr/>
          <w:p>
            <w:pPr>
              <w:pStyle w:val="Compact"/>
              <w:jc w:val="right"/>
            </w:pPr>
            <w:r>
              <w:t xml:space="preserve">1.060</w:t>
            </w:r>
          </w:p>
        </w:tc>
        <w:tc>
          <w:tcPr/>
          <w:p>
            <w:pPr>
              <w:pStyle w:val="Compact"/>
              <w:jc w:val="right"/>
            </w:pPr>
            <w:r>
              <w:t xml:space="preserve">1.282</w:t>
            </w:r>
          </w:p>
        </w:tc>
        <w:tc>
          <w:tcPr/>
          <w:p>
            <w:pPr>
              <w:pStyle w:val="Compact"/>
              <w:jc w:val="right"/>
            </w:pPr>
            <w:r>
              <w:t xml:space="preserve">1.756*</w:t>
            </w:r>
          </w:p>
        </w:tc>
      </w:tr>
      <w:tr>
        <w:tc>
          <w:tcPr/>
          <w:p>
            <w:pPr>
              <w:pStyle w:val="Compact"/>
            </w:pPr>
            <w:r>
              <w:t xml:space="preserve">zone North East</w:t>
            </w:r>
          </w:p>
        </w:tc>
        <w:tc>
          <w:tcPr/>
          <w:p>
            <w:pPr>
              <w:pStyle w:val="Compact"/>
              <w:jc w:val="right"/>
            </w:pPr>
            <w:r>
              <w:t xml:space="preserve">1.102</w:t>
            </w:r>
          </w:p>
        </w:tc>
        <w:tc>
          <w:tcPr/>
          <w:p>
            <w:pPr>
              <w:pStyle w:val="Compact"/>
              <w:jc w:val="right"/>
            </w:pPr>
            <w:r>
              <w:t xml:space="preserve">0.484*</w:t>
            </w:r>
          </w:p>
        </w:tc>
        <w:tc>
          <w:tcPr/>
          <w:p>
            <w:pPr>
              <w:pStyle w:val="Compact"/>
              <w:jc w:val="right"/>
            </w:pPr>
            <w:r>
              <w:t xml:space="preserve">0.796*</w:t>
            </w:r>
          </w:p>
        </w:tc>
        <w:tc>
          <w:tcPr/>
          <w:p>
            <w:pPr>
              <w:pStyle w:val="Compact"/>
            </w:pPr>
          </w:p>
        </w:tc>
        <w:tc>
          <w:tcPr/>
          <w:p>
            <w:pPr>
              <w:pStyle w:val="Compact"/>
              <w:jc w:val="right"/>
            </w:pPr>
            <w:r>
              <w:t xml:space="preserve">0.816</w:t>
            </w:r>
          </w:p>
        </w:tc>
      </w:tr>
      <w:tr>
        <w:tc>
          <w:tcPr/>
          <w:p>
            <w:pPr>
              <w:pStyle w:val="Compact"/>
            </w:pPr>
            <w:r>
              <w:t xml:space="preserve">zone North West</w:t>
            </w:r>
          </w:p>
        </w:tc>
        <w:tc>
          <w:tcPr/>
          <w:p>
            <w:pPr>
              <w:pStyle w:val="Compact"/>
              <w:jc w:val="right"/>
            </w:pPr>
            <w:r>
              <w:t xml:space="preserve">0.919</w:t>
            </w:r>
          </w:p>
        </w:tc>
        <w:tc>
          <w:tcPr/>
          <w:p>
            <w:pPr>
              <w:pStyle w:val="Compact"/>
              <w:jc w:val="right"/>
            </w:pPr>
            <w:r>
              <w:t xml:space="preserve">0.401*</w:t>
            </w:r>
          </w:p>
        </w:tc>
        <w:tc>
          <w:tcPr/>
          <w:p>
            <w:pPr>
              <w:pStyle w:val="Compact"/>
              <w:jc w:val="right"/>
            </w:pPr>
            <w:r>
              <w:t xml:space="preserve">0.646*</w:t>
            </w:r>
          </w:p>
        </w:tc>
        <w:tc>
          <w:tcPr/>
          <w:p>
            <w:pPr>
              <w:pStyle w:val="Compact"/>
            </w:pPr>
          </w:p>
        </w:tc>
        <w:tc>
          <w:tcPr/>
          <w:p>
            <w:pPr>
              <w:pStyle w:val="Compact"/>
              <w:jc w:val="right"/>
            </w:pPr>
            <w:r>
              <w:t xml:space="preserve">0.565*</w:t>
            </w:r>
          </w:p>
        </w:tc>
      </w:tr>
      <w:tr>
        <w:tc>
          <w:tcPr/>
          <w:p>
            <w:pPr>
              <w:pStyle w:val="Compact"/>
            </w:pPr>
            <w:r>
              <w:t xml:space="preserve">zone South East</w:t>
            </w:r>
          </w:p>
        </w:tc>
        <w:tc>
          <w:tcPr/>
          <w:p>
            <w:pPr>
              <w:pStyle w:val="Compact"/>
              <w:jc w:val="right"/>
            </w:pPr>
            <w:r>
              <w:t xml:space="preserve">1.087</w:t>
            </w:r>
          </w:p>
        </w:tc>
        <w:tc>
          <w:tcPr/>
          <w:p>
            <w:pPr>
              <w:pStyle w:val="Compact"/>
              <w:jc w:val="right"/>
            </w:pPr>
            <w:r>
              <w:t xml:space="preserve">0.402*</w:t>
            </w:r>
          </w:p>
        </w:tc>
        <w:tc>
          <w:tcPr/>
          <w:p>
            <w:pPr>
              <w:pStyle w:val="Compact"/>
              <w:jc w:val="right"/>
            </w:pPr>
            <w:r>
              <w:t xml:space="preserve">0.996</w:t>
            </w:r>
          </w:p>
        </w:tc>
        <w:tc>
          <w:tcPr/>
          <w:p>
            <w:pPr>
              <w:pStyle w:val="Compact"/>
            </w:pPr>
          </w:p>
        </w:tc>
        <w:tc>
          <w:tcPr/>
          <w:p>
            <w:pPr>
              <w:pStyle w:val="Compact"/>
              <w:jc w:val="right"/>
            </w:pPr>
            <w:r>
              <w:t xml:space="preserve">1.018</w:t>
            </w:r>
          </w:p>
        </w:tc>
      </w:tr>
      <w:tr>
        <w:tc>
          <w:tcPr/>
          <w:p>
            <w:pPr>
              <w:pStyle w:val="Compact"/>
            </w:pPr>
            <w:r>
              <w:t xml:space="preserve">zone South South</w:t>
            </w:r>
          </w:p>
        </w:tc>
        <w:tc>
          <w:tcPr/>
          <w:p>
            <w:pPr>
              <w:pStyle w:val="Compact"/>
              <w:jc w:val="right"/>
            </w:pPr>
            <w:r>
              <w:t xml:space="preserve">1.107</w:t>
            </w:r>
          </w:p>
        </w:tc>
        <w:tc>
          <w:tcPr/>
          <w:p>
            <w:pPr>
              <w:pStyle w:val="Compact"/>
              <w:jc w:val="right"/>
            </w:pPr>
            <w:r>
              <w:t xml:space="preserve">0.372*</w:t>
            </w:r>
          </w:p>
        </w:tc>
        <w:tc>
          <w:tcPr/>
          <w:p>
            <w:pPr>
              <w:pStyle w:val="Compact"/>
              <w:jc w:val="right"/>
            </w:pPr>
            <w:r>
              <w:t xml:space="preserve">0.921</w:t>
            </w:r>
          </w:p>
        </w:tc>
        <w:tc>
          <w:tcPr/>
          <w:p>
            <w:pPr>
              <w:pStyle w:val="Compact"/>
            </w:pPr>
          </w:p>
        </w:tc>
        <w:tc>
          <w:tcPr/>
          <w:p>
            <w:pPr>
              <w:pStyle w:val="Compact"/>
              <w:jc w:val="right"/>
            </w:pPr>
            <w:r>
              <w:t xml:space="preserve">0.948</w:t>
            </w:r>
          </w:p>
        </w:tc>
      </w:tr>
      <w:tr>
        <w:tc>
          <w:tcPr/>
          <w:p>
            <w:pPr>
              <w:pStyle w:val="Compact"/>
            </w:pPr>
            <w:r>
              <w:t xml:space="preserve">zone South West</w:t>
            </w:r>
          </w:p>
        </w:tc>
        <w:tc>
          <w:tcPr/>
          <w:p>
            <w:pPr>
              <w:pStyle w:val="Compact"/>
              <w:jc w:val="right"/>
            </w:pPr>
            <w:r>
              <w:t xml:space="preserve">0.714*</w:t>
            </w:r>
          </w:p>
        </w:tc>
        <w:tc>
          <w:tcPr/>
          <w:p>
            <w:pPr>
              <w:pStyle w:val="Compact"/>
              <w:jc w:val="right"/>
            </w:pPr>
            <w:r>
              <w:t xml:space="preserve">0.176*</w:t>
            </w:r>
          </w:p>
        </w:tc>
        <w:tc>
          <w:tcPr/>
          <w:p>
            <w:pPr>
              <w:pStyle w:val="Compact"/>
              <w:jc w:val="right"/>
            </w:pPr>
            <w:r>
              <w:t xml:space="preserve">0.841</w:t>
            </w:r>
          </w:p>
        </w:tc>
        <w:tc>
          <w:tcPr/>
          <w:p>
            <w:pPr>
              <w:pStyle w:val="Compact"/>
            </w:pPr>
          </w:p>
        </w:tc>
        <w:tc>
          <w:tcPr/>
          <w:p>
            <w:pPr>
              <w:pStyle w:val="Compact"/>
              <w:jc w:val="right"/>
            </w:pPr>
            <w:r>
              <w:t xml:space="preserve">0.586*</w:t>
            </w:r>
          </w:p>
        </w:tc>
      </w:tr>
      <w:tr>
        <w:tc>
          <w:tcPr/>
          <w:p>
            <w:pPr>
              <w:pStyle w:val="Compact"/>
            </w:pPr>
            <w:r>
              <w:t xml:space="preserve">quintile 2</w:t>
            </w:r>
          </w:p>
        </w:tc>
        <w:tc>
          <w:tcPr/>
          <w:p>
            <w:pPr>
              <w:pStyle w:val="Compact"/>
              <w:jc w:val="right"/>
            </w:pPr>
            <w:r>
              <w:t xml:space="preserve">1.306*</w:t>
            </w:r>
          </w:p>
        </w:tc>
        <w:tc>
          <w:tcPr/>
          <w:p>
            <w:pPr>
              <w:pStyle w:val="Compact"/>
              <w:jc w:val="right"/>
            </w:pPr>
            <w:r>
              <w:t xml:space="preserve">2.619*</w:t>
            </w:r>
          </w:p>
        </w:tc>
        <w:tc>
          <w:tcPr/>
          <w:p>
            <w:pPr>
              <w:pStyle w:val="Compact"/>
              <w:jc w:val="right"/>
            </w:pPr>
            <w:r>
              <w:t xml:space="preserve">1.237*</w:t>
            </w:r>
          </w:p>
        </w:tc>
        <w:tc>
          <w:tcPr/>
          <w:p>
            <w:pPr>
              <w:pStyle w:val="Compact"/>
              <w:jc w:val="right"/>
            </w:pPr>
            <w:r>
              <w:t xml:space="preserve">2.961*</w:t>
            </w:r>
          </w:p>
        </w:tc>
        <w:tc>
          <w:tcPr/>
          <w:p>
            <w:pPr>
              <w:pStyle w:val="Compact"/>
              <w:jc w:val="right"/>
            </w:pPr>
            <w:r>
              <w:t xml:space="preserve">1.766*</w:t>
            </w:r>
          </w:p>
        </w:tc>
      </w:tr>
      <w:tr>
        <w:tc>
          <w:tcPr/>
          <w:p>
            <w:pPr>
              <w:pStyle w:val="Compact"/>
            </w:pPr>
            <w:r>
              <w:t xml:space="preserve">quintile 3</w:t>
            </w:r>
          </w:p>
        </w:tc>
        <w:tc>
          <w:tcPr/>
          <w:p>
            <w:pPr>
              <w:pStyle w:val="Compact"/>
              <w:jc w:val="right"/>
            </w:pPr>
            <w:r>
              <w:t xml:space="preserve">1.627*</w:t>
            </w:r>
          </w:p>
        </w:tc>
        <w:tc>
          <w:tcPr/>
          <w:p>
            <w:pPr>
              <w:pStyle w:val="Compact"/>
              <w:jc w:val="right"/>
            </w:pPr>
            <w:r>
              <w:t xml:space="preserve">2.628*</w:t>
            </w:r>
          </w:p>
        </w:tc>
        <w:tc>
          <w:tcPr/>
          <w:p>
            <w:pPr>
              <w:pStyle w:val="Compact"/>
              <w:jc w:val="right"/>
            </w:pPr>
            <w:r>
              <w:t xml:space="preserve">1.293*</w:t>
            </w:r>
          </w:p>
        </w:tc>
        <w:tc>
          <w:tcPr/>
          <w:p>
            <w:pPr>
              <w:pStyle w:val="Compact"/>
              <w:jc w:val="right"/>
            </w:pPr>
            <w:r>
              <w:t xml:space="preserve">2.772*</w:t>
            </w:r>
          </w:p>
        </w:tc>
        <w:tc>
          <w:tcPr/>
          <w:p>
            <w:pPr>
              <w:pStyle w:val="Compact"/>
              <w:jc w:val="right"/>
            </w:pPr>
            <w:r>
              <w:t xml:space="preserve">2.345*</w:t>
            </w:r>
          </w:p>
        </w:tc>
      </w:tr>
      <w:tr>
        <w:tc>
          <w:tcPr/>
          <w:p>
            <w:pPr>
              <w:pStyle w:val="Compact"/>
            </w:pPr>
            <w:r>
              <w:t xml:space="preserve">quintile 4</w:t>
            </w:r>
          </w:p>
        </w:tc>
        <w:tc>
          <w:tcPr/>
          <w:p>
            <w:pPr>
              <w:pStyle w:val="Compact"/>
              <w:jc w:val="right"/>
            </w:pPr>
            <w:r>
              <w:t xml:space="preserve">1.706*</w:t>
            </w:r>
          </w:p>
        </w:tc>
        <w:tc>
          <w:tcPr/>
          <w:p>
            <w:pPr>
              <w:pStyle w:val="Compact"/>
              <w:jc w:val="right"/>
            </w:pPr>
            <w:r>
              <w:t xml:space="preserve">3.497*</w:t>
            </w:r>
          </w:p>
        </w:tc>
        <w:tc>
          <w:tcPr/>
          <w:p>
            <w:pPr>
              <w:pStyle w:val="Compact"/>
              <w:jc w:val="right"/>
            </w:pPr>
            <w:r>
              <w:t xml:space="preserve">1.712*</w:t>
            </w:r>
          </w:p>
        </w:tc>
        <w:tc>
          <w:tcPr/>
          <w:p>
            <w:pPr>
              <w:pStyle w:val="Compact"/>
              <w:jc w:val="right"/>
            </w:pPr>
            <w:r>
              <w:t xml:space="preserve">5.042*</w:t>
            </w:r>
          </w:p>
        </w:tc>
        <w:tc>
          <w:tcPr/>
          <w:p>
            <w:pPr>
              <w:pStyle w:val="Compact"/>
              <w:jc w:val="right"/>
            </w:pPr>
            <w:r>
              <w:t xml:space="preserve">3.351*</w:t>
            </w:r>
          </w:p>
        </w:tc>
      </w:tr>
      <w:tr>
        <w:tc>
          <w:tcPr/>
          <w:p>
            <w:pPr>
              <w:pStyle w:val="Compact"/>
            </w:pPr>
            <w:r>
              <w:t xml:space="preserve">quintile 5</w:t>
            </w:r>
          </w:p>
        </w:tc>
        <w:tc>
          <w:tcPr/>
          <w:p>
            <w:pPr>
              <w:pStyle w:val="Compact"/>
              <w:jc w:val="right"/>
            </w:pPr>
            <w:r>
              <w:t xml:space="preserve">1.988*</w:t>
            </w:r>
          </w:p>
        </w:tc>
        <w:tc>
          <w:tcPr/>
          <w:p>
            <w:pPr>
              <w:pStyle w:val="Compact"/>
              <w:jc w:val="right"/>
            </w:pPr>
            <w:r>
              <w:t xml:space="preserve">5.732*</w:t>
            </w:r>
          </w:p>
        </w:tc>
        <w:tc>
          <w:tcPr/>
          <w:p>
            <w:pPr>
              <w:pStyle w:val="Compact"/>
              <w:jc w:val="right"/>
            </w:pPr>
            <w:r>
              <w:t xml:space="preserve">3.044*</w:t>
            </w:r>
          </w:p>
        </w:tc>
        <w:tc>
          <w:tcPr/>
          <w:p>
            <w:pPr>
              <w:pStyle w:val="Compact"/>
              <w:jc w:val="right"/>
            </w:pPr>
            <w:r>
              <w:t xml:space="preserve">5.932*</w:t>
            </w:r>
          </w:p>
        </w:tc>
        <w:tc>
          <w:tcPr/>
          <w:p>
            <w:pPr>
              <w:pStyle w:val="Compact"/>
              <w:jc w:val="right"/>
            </w:pPr>
            <w:r>
              <w:t xml:space="preserve">6.936*</w:t>
            </w:r>
          </w:p>
        </w:tc>
      </w:tr>
      <w:tr>
        <w:tc>
          <w:tcPr/>
          <w:p>
            <w:pPr>
              <w:pStyle w:val="Compact"/>
            </w:pPr>
            <w:r>
              <w:t xml:space="preserve">female</w:t>
            </w:r>
          </w:p>
        </w:tc>
        <w:tc>
          <w:tcPr/>
          <w:p>
            <w:pPr>
              <w:pStyle w:val="Compact"/>
              <w:jc w:val="right"/>
            </w:pPr>
            <w:r>
              <w:t xml:space="preserve">1.072*</w:t>
            </w:r>
          </w:p>
        </w:tc>
        <w:tc>
          <w:tcPr/>
          <w:p>
            <w:pPr>
              <w:pStyle w:val="Compact"/>
              <w:jc w:val="right"/>
            </w:pPr>
            <w:r>
              <w:t xml:space="preserve">1.103</w:t>
            </w:r>
          </w:p>
        </w:tc>
        <w:tc>
          <w:tcPr/>
          <w:p>
            <w:pPr>
              <w:pStyle w:val="Compact"/>
              <w:jc w:val="right"/>
            </w:pPr>
            <w:r>
              <w:t xml:space="preserve">0.867*</w:t>
            </w:r>
          </w:p>
        </w:tc>
        <w:tc>
          <w:tcPr/>
          <w:p>
            <w:pPr>
              <w:pStyle w:val="Compact"/>
              <w:jc w:val="right"/>
            </w:pPr>
            <w:r>
              <w:t xml:space="preserve">0.901</w:t>
            </w:r>
          </w:p>
        </w:tc>
        <w:tc>
          <w:tcPr/>
          <w:p>
            <w:pPr>
              <w:pStyle w:val="Compact"/>
              <w:jc w:val="right"/>
            </w:pPr>
            <w:r>
              <w:t xml:space="preserve">0.948</w:t>
            </w:r>
          </w:p>
        </w:tc>
      </w:tr>
      <w:tr>
        <w:tc>
          <w:tcPr/>
          <w:p>
            <w:pPr>
              <w:pStyle w:val="Compact"/>
            </w:pPr>
            <w:r>
              <w:t xml:space="preserve">urban</w:t>
            </w:r>
          </w:p>
        </w:tc>
        <w:tc>
          <w:tcPr/>
          <w:p>
            <w:pPr>
              <w:pStyle w:val="Compact"/>
              <w:jc w:val="right"/>
            </w:pPr>
            <w:r>
              <w:t xml:space="preserve">1.049</w:t>
            </w:r>
          </w:p>
        </w:tc>
        <w:tc>
          <w:tcPr/>
          <w:p>
            <w:pPr>
              <w:pStyle w:val="Compact"/>
              <w:jc w:val="right"/>
            </w:pPr>
            <w:r>
              <w:t xml:space="preserve">1.569*</w:t>
            </w:r>
          </w:p>
        </w:tc>
        <w:tc>
          <w:tcPr/>
          <w:p>
            <w:pPr>
              <w:pStyle w:val="Compact"/>
              <w:jc w:val="right"/>
            </w:pPr>
            <w:r>
              <w:t xml:space="preserve">1.069</w:t>
            </w:r>
          </w:p>
        </w:tc>
        <w:tc>
          <w:tcPr/>
          <w:p>
            <w:pPr>
              <w:pStyle w:val="Compact"/>
              <w:jc w:val="right"/>
            </w:pPr>
            <w:r>
              <w:t xml:space="preserve">0.684*</w:t>
            </w:r>
          </w:p>
        </w:tc>
        <w:tc>
          <w:tcPr/>
          <w:p>
            <w:pPr>
              <w:pStyle w:val="Compact"/>
              <w:jc w:val="right"/>
            </w:pPr>
            <w:r>
              <w:t xml:space="preserve">1.049</w:t>
            </w:r>
          </w:p>
        </w:tc>
      </w:tr>
      <w:tr>
        <w:tc>
          <w:tcPr/>
          <w:p>
            <w:pPr>
              <w:pStyle w:val="Compact"/>
            </w:pPr>
            <w:r>
              <w:t xml:space="preserve">chronic</w:t>
            </w:r>
          </w:p>
        </w:tc>
        <w:tc>
          <w:tcPr/>
          <w:p>
            <w:pPr>
              <w:pStyle w:val="Compact"/>
              <w:jc w:val="right"/>
            </w:pPr>
            <w:r>
              <w:t xml:space="preserve">1.704*</w:t>
            </w:r>
          </w:p>
        </w:tc>
        <w:tc>
          <w:tcPr/>
          <w:p>
            <w:pPr>
              <w:pStyle w:val="Compact"/>
              <w:jc w:val="right"/>
            </w:pPr>
            <w:r>
              <w:t xml:space="preserve">2.934*</w:t>
            </w:r>
          </w:p>
        </w:tc>
        <w:tc>
          <w:tcPr/>
          <w:p>
            <w:pPr>
              <w:pStyle w:val="Compact"/>
              <w:jc w:val="right"/>
            </w:pPr>
            <w:r>
              <w:t xml:space="preserve">1.622*</w:t>
            </w:r>
          </w:p>
        </w:tc>
        <w:tc>
          <w:tcPr/>
          <w:p>
            <w:pPr>
              <w:pStyle w:val="Compact"/>
            </w:pPr>
          </w:p>
        </w:tc>
        <w:tc>
          <w:tcPr/>
          <w:p>
            <w:pPr>
              <w:pStyle w:val="Compact"/>
              <w:jc w:val="right"/>
            </w:pPr>
            <w:r>
              <w:t xml:space="preserve">3.248*</w:t>
            </w:r>
          </w:p>
        </w:tc>
      </w:tr>
      <w:tr>
        <w:tc>
          <w:tcPr/>
          <w:p>
            <w:pPr>
              <w:pStyle w:val="Compact"/>
            </w:pPr>
            <w:r>
              <w:t xml:space="preserve">hhsize</w:t>
            </w:r>
          </w:p>
        </w:tc>
        <w:tc>
          <w:tcPr/>
          <w:p>
            <w:pPr>
              <w:pStyle w:val="Compact"/>
              <w:jc w:val="right"/>
            </w:pPr>
            <w:r>
              <w:t xml:space="preserve">0.988</w:t>
            </w:r>
          </w:p>
        </w:tc>
        <w:tc>
          <w:tcPr/>
          <w:p>
            <w:pPr>
              <w:pStyle w:val="Compact"/>
              <w:jc w:val="right"/>
            </w:pPr>
            <w:r>
              <w:t xml:space="preserve">1.016</w:t>
            </w:r>
          </w:p>
        </w:tc>
        <w:tc>
          <w:tcPr/>
          <w:p>
            <w:pPr>
              <w:pStyle w:val="Compact"/>
              <w:jc w:val="right"/>
            </w:pPr>
            <w:r>
              <w:t xml:space="preserve">1.038*</w:t>
            </w:r>
          </w:p>
        </w:tc>
        <w:tc>
          <w:tcPr/>
          <w:p>
            <w:pPr>
              <w:pStyle w:val="Compact"/>
            </w:pPr>
          </w:p>
        </w:tc>
        <w:tc>
          <w:tcPr/>
          <w:p>
            <w:pPr>
              <w:pStyle w:val="Compact"/>
              <w:jc w:val="right"/>
            </w:pPr>
            <w:r>
              <w:t xml:space="preserve">1.025*</w:t>
            </w:r>
          </w:p>
        </w:tc>
      </w:tr>
    </w:tbl>
    <w:p>
      <w:pPr>
        <w:pStyle w:val="BodyText"/>
      </w:pPr>
      <w:r>
        <w:rPr>
          <w:b/>
          <w:bCs/>
        </w:rPr>
        <w:t xml:space="preserve">Table A7.</w:t>
      </w:r>
      <w:r>
        <w:t xml:space="preserve"> </w:t>
      </w:r>
      <w:r>
        <w:t xml:space="preserve">Cost-model fit statistics, the Tweedie profile likelihood near its maximum, and calibration by decile of prediction.</w:t>
      </w:r>
    </w:p>
    <w:p>
      <w:pPr>
        <w:pStyle w:val="BodyText"/>
      </w:pPr>
      <w:r>
        <w:rPr>
          <w:i/>
          <w:iCs/>
        </w:rPr>
        <w:t xml:space="preserve">The full profile is in output/tables/tableA2_tweedie_profile.csv.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1.650</w:t>
            </w:r>
          </w:p>
        </w:tc>
      </w:tr>
      <w:tr>
        <w:tc>
          <w:tcPr/>
          <w:p>
            <w:pPr>
              <w:pStyle w:val="Compact"/>
            </w:pPr>
            <w:r>
              <w:t xml:space="preserve">Tweedie dispersion phi</w:t>
            </w:r>
          </w:p>
        </w:tc>
        <w:tc>
          <w:tcPr/>
          <w:p>
            <w:pPr>
              <w:pStyle w:val="Compact"/>
              <w:jc w:val="right"/>
            </w:pPr>
            <w:r>
              <w:t xml:space="preserve">428.478</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98,131.114</w:t>
            </w:r>
          </w:p>
        </w:tc>
      </w:tr>
      <w:tr>
        <w:tc>
          <w:tcPr/>
          <w:p>
            <w:pPr>
              <w:pStyle w:val="Compact"/>
            </w:pPr>
            <w:r>
              <w:t xml:space="preserve">AIC lognormal severity</w:t>
            </w:r>
          </w:p>
        </w:tc>
        <w:tc>
          <w:tcPr/>
          <w:p>
            <w:pPr>
              <w:pStyle w:val="Compact"/>
              <w:jc w:val="right"/>
            </w:pPr>
            <w:r>
              <w:t xml:space="preserve">95,298.669</w:t>
            </w:r>
          </w:p>
        </w:tc>
      </w:tr>
      <w:tr>
        <w:tc>
          <w:tcPr/>
          <w:p>
            <w:pPr>
              <w:pStyle w:val="Compact"/>
            </w:pPr>
            <w:r>
              <w:t xml:space="preserve">Quantile-residual KS p-value</w:t>
            </w:r>
          </w:p>
        </w:tc>
        <w:tc>
          <w:tcPr/>
          <w:p>
            <w:pPr>
              <w:pStyle w:val="Compact"/>
              <w:jc w:val="right"/>
            </w:pPr>
            <w:r>
              <w:t xml:space="preserve">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1.45</w:t>
            </w:r>
          </w:p>
        </w:tc>
        <w:tc>
          <w:tcPr/>
          <w:p>
            <w:pPr>
              <w:pStyle w:val="Compact"/>
              <w:jc w:val="right"/>
            </w:pPr>
            <w:r>
              <w:t xml:space="preserve">-79,307.6</w:t>
            </w:r>
          </w:p>
        </w:tc>
        <w:tc>
          <w:tcPr/>
          <w:p>
            <w:pPr>
              <w:pStyle w:val="Compact"/>
              <w:jc w:val="right"/>
            </w:pPr>
            <w:r>
              <w:t xml:space="preserve">21,326,453.7</w:t>
            </w:r>
          </w:p>
        </w:tc>
      </w:tr>
      <w:tr>
        <w:tc>
          <w:tcPr/>
          <w:p>
            <w:pPr>
              <w:pStyle w:val="Compact"/>
            </w:pPr>
            <w:r>
              <w:t xml:space="preserve">1.50</w:t>
            </w:r>
          </w:p>
        </w:tc>
        <w:tc>
          <w:tcPr/>
          <w:p>
            <w:pPr>
              <w:pStyle w:val="Compact"/>
              <w:jc w:val="right"/>
            </w:pPr>
            <w:r>
              <w:t xml:space="preserve">-78,599.0</w:t>
            </w:r>
          </w:p>
        </w:tc>
        <w:tc>
          <w:tcPr/>
          <w:p>
            <w:pPr>
              <w:pStyle w:val="Compact"/>
              <w:jc w:val="right"/>
            </w:pPr>
            <w:r>
              <w:t xml:space="preserve">13,707,933.5</w:t>
            </w:r>
          </w:p>
        </w:tc>
      </w:tr>
      <w:tr>
        <w:tc>
          <w:tcPr/>
          <w:p>
            <w:pPr>
              <w:pStyle w:val="Compact"/>
            </w:pPr>
            <w:r>
              <w:t xml:space="preserve">1.55</w:t>
            </w:r>
          </w:p>
        </w:tc>
        <w:tc>
          <w:tcPr/>
          <w:p>
            <w:pPr>
              <w:pStyle w:val="Compact"/>
              <w:jc w:val="right"/>
            </w:pPr>
            <w:r>
              <w:t xml:space="preserve">-78,152.7</w:t>
            </w:r>
          </w:p>
        </w:tc>
        <w:tc>
          <w:tcPr/>
          <w:p>
            <w:pPr>
              <w:pStyle w:val="Compact"/>
              <w:jc w:val="right"/>
            </w:pPr>
            <w:r>
              <w:t xml:space="preserve">8,934,017.0</w:t>
            </w:r>
          </w:p>
        </w:tc>
      </w:tr>
      <w:tr>
        <w:tc>
          <w:tcPr/>
          <w:p>
            <w:pPr>
              <w:pStyle w:val="Compact"/>
            </w:pPr>
            <w:r>
              <w:t xml:space="preserve">1.60</w:t>
            </w:r>
          </w:p>
        </w:tc>
        <w:tc>
          <w:tcPr/>
          <w:p>
            <w:pPr>
              <w:pStyle w:val="Compact"/>
              <w:jc w:val="right"/>
            </w:pPr>
            <w:r>
              <w:t xml:space="preserve">-77,930.7</w:t>
            </w:r>
          </w:p>
        </w:tc>
        <w:tc>
          <w:tcPr/>
          <w:p>
            <w:pPr>
              <w:pStyle w:val="Compact"/>
              <w:jc w:val="right"/>
            </w:pPr>
            <w:r>
              <w:t xml:space="preserve">5,917,429.0</w:t>
            </w:r>
          </w:p>
        </w:tc>
      </w:tr>
      <w:tr>
        <w:tc>
          <w:tcPr/>
          <w:p>
            <w:pPr>
              <w:pStyle w:val="Compact"/>
            </w:pPr>
            <w:r>
              <w:t xml:space="preserve">1.65</w:t>
            </w:r>
          </w:p>
        </w:tc>
        <w:tc>
          <w:tcPr/>
          <w:p>
            <w:pPr>
              <w:pStyle w:val="Compact"/>
              <w:jc w:val="right"/>
            </w:pPr>
            <w:r>
              <w:t xml:space="preserve">-77,923.3</w:t>
            </w:r>
          </w:p>
        </w:tc>
        <w:tc>
          <w:tcPr/>
          <w:p>
            <w:pPr>
              <w:pStyle w:val="Compact"/>
              <w:jc w:val="right"/>
            </w:pPr>
            <w:r>
              <w:t xml:space="preserve">3,996,089.7</w:t>
            </w:r>
          </w:p>
        </w:tc>
      </w:tr>
      <w:tr>
        <w:tc>
          <w:tcPr/>
          <w:p>
            <w:pPr>
              <w:pStyle w:val="Compact"/>
            </w:pPr>
            <w:r>
              <w:t xml:space="preserve">1.70</w:t>
            </w:r>
          </w:p>
        </w:tc>
        <w:tc>
          <w:tcPr/>
          <w:p>
            <w:pPr>
              <w:pStyle w:val="Compact"/>
              <w:jc w:val="right"/>
            </w:pPr>
            <w:r>
              <w:t xml:space="preserve">-78,151.1</w:t>
            </w:r>
          </w:p>
        </w:tc>
        <w:tc>
          <w:tcPr/>
          <w:p>
            <w:pPr>
              <w:pStyle w:val="Compact"/>
              <w:jc w:val="right"/>
            </w:pPr>
            <w:r>
              <w:t xml:space="preserve">2,764,579.2</w:t>
            </w:r>
          </w:p>
        </w:tc>
      </w:tr>
      <w:tr>
        <w:tc>
          <w:tcPr/>
          <w:p>
            <w:pPr>
              <w:pStyle w:val="Compact"/>
            </w:pPr>
            <w:r>
              <w:t xml:space="preserve">1.75</w:t>
            </w:r>
          </w:p>
        </w:tc>
        <w:tc>
          <w:tcPr/>
          <w:p>
            <w:pPr>
              <w:pStyle w:val="Compact"/>
              <w:jc w:val="right"/>
            </w:pPr>
            <w:r>
              <w:t xml:space="preserve">-78,680.8</w:t>
            </w:r>
          </w:p>
        </w:tc>
        <w:tc>
          <w:tcPr/>
          <w:p>
            <w:pPr>
              <w:pStyle w:val="Compact"/>
              <w:jc w:val="right"/>
            </w:pPr>
            <w:r>
              <w:t xml:space="preserve">1,974,035.1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2,894</w:t>
            </w:r>
          </w:p>
        </w:tc>
        <w:tc>
          <w:tcPr/>
          <w:p>
            <w:pPr>
              <w:pStyle w:val="Compact"/>
              <w:jc w:val="right"/>
            </w:pPr>
            <w:r>
              <w:t xml:space="preserve">3,104</w:t>
            </w:r>
          </w:p>
        </w:tc>
        <w:tc>
          <w:tcPr/>
          <w:p>
            <w:pPr>
              <w:pStyle w:val="Compact"/>
              <w:jc w:val="right"/>
            </w:pPr>
            <w:r>
              <w:t xml:space="preserve">1.072</w:t>
            </w:r>
          </w:p>
        </w:tc>
        <w:tc>
          <w:tcPr/>
          <w:p>
            <w:pPr>
              <w:pStyle w:val="Compact"/>
              <w:jc w:val="right"/>
            </w:pPr>
            <w:r>
              <w:t xml:space="preserve">0.16</w:t>
            </w:r>
          </w:p>
        </w:tc>
      </w:tr>
      <w:tr>
        <w:tc>
          <w:tcPr/>
          <w:p>
            <w:pPr>
              <w:pStyle w:val="Compact"/>
            </w:pPr>
            <w:r>
              <w:t xml:space="preserve">2</w:t>
            </w:r>
          </w:p>
        </w:tc>
        <w:tc>
          <w:tcPr/>
          <w:p>
            <w:pPr>
              <w:pStyle w:val="Compact"/>
              <w:jc w:val="right"/>
            </w:pPr>
            <w:r>
              <w:t xml:space="preserve">2,463</w:t>
            </w:r>
          </w:p>
        </w:tc>
        <w:tc>
          <w:tcPr/>
          <w:p>
            <w:pPr>
              <w:pStyle w:val="Compact"/>
              <w:jc w:val="right"/>
            </w:pPr>
            <w:r>
              <w:t xml:space="preserve">4,365</w:t>
            </w:r>
          </w:p>
        </w:tc>
        <w:tc>
          <w:tcPr/>
          <w:p>
            <w:pPr>
              <w:pStyle w:val="Compact"/>
              <w:jc w:val="right"/>
            </w:pPr>
            <w:r>
              <w:t xml:space="preserve">4,039</w:t>
            </w:r>
          </w:p>
        </w:tc>
        <w:tc>
          <w:tcPr/>
          <w:p>
            <w:pPr>
              <w:pStyle w:val="Compact"/>
              <w:jc w:val="right"/>
            </w:pPr>
            <w:r>
              <w:t xml:space="preserve">0.925</w:t>
            </w:r>
          </w:p>
        </w:tc>
        <w:tc>
          <w:tcPr/>
          <w:p>
            <w:pPr>
              <w:pStyle w:val="Compact"/>
              <w:jc w:val="right"/>
            </w:pPr>
            <w:r>
              <w:t xml:space="preserve">0.21</w:t>
            </w:r>
          </w:p>
        </w:tc>
      </w:tr>
      <w:tr>
        <w:tc>
          <w:tcPr/>
          <w:p>
            <w:pPr>
              <w:pStyle w:val="Compact"/>
            </w:pPr>
            <w:r>
              <w:t xml:space="preserve">3</w:t>
            </w:r>
          </w:p>
        </w:tc>
        <w:tc>
          <w:tcPr/>
          <w:p>
            <w:pPr>
              <w:pStyle w:val="Compact"/>
              <w:jc w:val="right"/>
            </w:pPr>
            <w:r>
              <w:t xml:space="preserve">2,463</w:t>
            </w:r>
          </w:p>
        </w:tc>
        <w:tc>
          <w:tcPr/>
          <w:p>
            <w:pPr>
              <w:pStyle w:val="Compact"/>
              <w:jc w:val="right"/>
            </w:pPr>
            <w:r>
              <w:t xml:space="preserve">5,837</w:t>
            </w:r>
          </w:p>
        </w:tc>
        <w:tc>
          <w:tcPr/>
          <w:p>
            <w:pPr>
              <w:pStyle w:val="Compact"/>
              <w:jc w:val="right"/>
            </w:pPr>
            <w:r>
              <w:t xml:space="preserve">6,121</w:t>
            </w:r>
          </w:p>
        </w:tc>
        <w:tc>
          <w:tcPr/>
          <w:p>
            <w:pPr>
              <w:pStyle w:val="Compact"/>
              <w:jc w:val="right"/>
            </w:pPr>
            <w:r>
              <w:t xml:space="preserve">1.049</w:t>
            </w:r>
          </w:p>
        </w:tc>
        <w:tc>
          <w:tcPr/>
          <w:p>
            <w:pPr>
              <w:pStyle w:val="Compact"/>
              <w:jc w:val="right"/>
            </w:pPr>
            <w:r>
              <w:t xml:space="preserve">0.31</w:t>
            </w:r>
          </w:p>
        </w:tc>
      </w:tr>
      <w:tr>
        <w:tc>
          <w:tcPr/>
          <w:p>
            <w:pPr>
              <w:pStyle w:val="Compact"/>
            </w:pPr>
            <w:r>
              <w:t xml:space="preserve">4</w:t>
            </w:r>
          </w:p>
        </w:tc>
        <w:tc>
          <w:tcPr/>
          <w:p>
            <w:pPr>
              <w:pStyle w:val="Compact"/>
              <w:jc w:val="right"/>
            </w:pPr>
            <w:r>
              <w:t xml:space="preserve">2,463</w:t>
            </w:r>
          </w:p>
        </w:tc>
        <w:tc>
          <w:tcPr/>
          <w:p>
            <w:pPr>
              <w:pStyle w:val="Compact"/>
              <w:jc w:val="right"/>
            </w:pPr>
            <w:r>
              <w:t xml:space="preserve">7,535</w:t>
            </w:r>
          </w:p>
        </w:tc>
        <w:tc>
          <w:tcPr/>
          <w:p>
            <w:pPr>
              <w:pStyle w:val="Compact"/>
              <w:jc w:val="right"/>
            </w:pPr>
            <w:r>
              <w:t xml:space="preserve">7,538</w:t>
            </w:r>
          </w:p>
        </w:tc>
        <w:tc>
          <w:tcPr/>
          <w:p>
            <w:pPr>
              <w:pStyle w:val="Compact"/>
              <w:jc w:val="right"/>
            </w:pPr>
            <w:r>
              <w:t xml:space="preserve">1.000</w:t>
            </w:r>
          </w:p>
        </w:tc>
        <w:tc>
          <w:tcPr/>
          <w:p>
            <w:pPr>
              <w:pStyle w:val="Compact"/>
              <w:jc w:val="right"/>
            </w:pPr>
            <w:r>
              <w:t xml:space="preserve">0.38</w:t>
            </w:r>
          </w:p>
        </w:tc>
      </w:tr>
      <w:tr>
        <w:tc>
          <w:tcPr/>
          <w:p>
            <w:pPr>
              <w:pStyle w:val="Compact"/>
            </w:pPr>
            <w:r>
              <w:t xml:space="preserve">5</w:t>
            </w:r>
          </w:p>
        </w:tc>
        <w:tc>
          <w:tcPr/>
          <w:p>
            <w:pPr>
              <w:pStyle w:val="Compact"/>
              <w:jc w:val="right"/>
            </w:pPr>
            <w:r>
              <w:t xml:space="preserve">2,463</w:t>
            </w:r>
          </w:p>
        </w:tc>
        <w:tc>
          <w:tcPr/>
          <w:p>
            <w:pPr>
              <w:pStyle w:val="Compact"/>
              <w:jc w:val="right"/>
            </w:pPr>
            <w:r>
              <w:t xml:space="preserve">9,338</w:t>
            </w:r>
          </w:p>
        </w:tc>
        <w:tc>
          <w:tcPr/>
          <w:p>
            <w:pPr>
              <w:pStyle w:val="Compact"/>
              <w:jc w:val="right"/>
            </w:pPr>
            <w:r>
              <w:t xml:space="preserve">10,093</w:t>
            </w:r>
          </w:p>
        </w:tc>
        <w:tc>
          <w:tcPr/>
          <w:p>
            <w:pPr>
              <w:pStyle w:val="Compact"/>
              <w:jc w:val="right"/>
            </w:pPr>
            <w:r>
              <w:t xml:space="preserve">1.081</w:t>
            </w:r>
          </w:p>
        </w:tc>
        <w:tc>
          <w:tcPr/>
          <w:p>
            <w:pPr>
              <w:pStyle w:val="Compact"/>
              <w:jc w:val="right"/>
            </w:pPr>
            <w:r>
              <w:t xml:space="preserve">0.51</w:t>
            </w:r>
          </w:p>
        </w:tc>
      </w:tr>
      <w:tr>
        <w:tc>
          <w:tcPr/>
          <w:p>
            <w:pPr>
              <w:pStyle w:val="Compact"/>
            </w:pPr>
            <w:r>
              <w:t xml:space="preserve">6</w:t>
            </w:r>
          </w:p>
        </w:tc>
        <w:tc>
          <w:tcPr/>
          <w:p>
            <w:pPr>
              <w:pStyle w:val="Compact"/>
              <w:jc w:val="right"/>
            </w:pPr>
            <w:r>
              <w:t xml:space="preserve">2,462</w:t>
            </w:r>
          </w:p>
        </w:tc>
        <w:tc>
          <w:tcPr/>
          <w:p>
            <w:pPr>
              <w:pStyle w:val="Compact"/>
              <w:jc w:val="right"/>
            </w:pPr>
            <w:r>
              <w:t xml:space="preserve">12,078</w:t>
            </w:r>
          </w:p>
        </w:tc>
        <w:tc>
          <w:tcPr/>
          <w:p>
            <w:pPr>
              <w:pStyle w:val="Compact"/>
              <w:jc w:val="right"/>
            </w:pPr>
            <w:r>
              <w:t xml:space="preserve">12,675</w:t>
            </w:r>
          </w:p>
        </w:tc>
        <w:tc>
          <w:tcPr/>
          <w:p>
            <w:pPr>
              <w:pStyle w:val="Compact"/>
              <w:jc w:val="right"/>
            </w:pPr>
            <w:r>
              <w:t xml:space="preserve">1.049</w:t>
            </w:r>
          </w:p>
        </w:tc>
        <w:tc>
          <w:tcPr/>
          <w:p>
            <w:pPr>
              <w:pStyle w:val="Compact"/>
              <w:jc w:val="right"/>
            </w:pPr>
            <w:r>
              <w:t xml:space="preserve">0.64</w:t>
            </w:r>
          </w:p>
        </w:tc>
      </w:tr>
      <w:tr>
        <w:tc>
          <w:tcPr/>
          <w:p>
            <w:pPr>
              <w:pStyle w:val="Compact"/>
            </w:pPr>
            <w:r>
              <w:t xml:space="preserve">7</w:t>
            </w:r>
          </w:p>
        </w:tc>
        <w:tc>
          <w:tcPr/>
          <w:p>
            <w:pPr>
              <w:pStyle w:val="Compact"/>
              <w:jc w:val="right"/>
            </w:pPr>
            <w:r>
              <w:t xml:space="preserve">2,463</w:t>
            </w:r>
          </w:p>
        </w:tc>
        <w:tc>
          <w:tcPr/>
          <w:p>
            <w:pPr>
              <w:pStyle w:val="Compact"/>
              <w:jc w:val="right"/>
            </w:pPr>
            <w:r>
              <w:t xml:space="preserve">15,781</w:t>
            </w:r>
          </w:p>
        </w:tc>
        <w:tc>
          <w:tcPr/>
          <w:p>
            <w:pPr>
              <w:pStyle w:val="Compact"/>
              <w:jc w:val="right"/>
            </w:pPr>
            <w:r>
              <w:t xml:space="preserve">12,853</w:t>
            </w:r>
          </w:p>
        </w:tc>
        <w:tc>
          <w:tcPr/>
          <w:p>
            <w:pPr>
              <w:pStyle w:val="Compact"/>
              <w:jc w:val="right"/>
            </w:pPr>
            <w:r>
              <w:t xml:space="preserve">0.814</w:t>
            </w:r>
          </w:p>
        </w:tc>
        <w:tc>
          <w:tcPr/>
          <w:p>
            <w:pPr>
              <w:pStyle w:val="Compact"/>
              <w:jc w:val="right"/>
            </w:pPr>
            <w:r>
              <w:t xml:space="preserve">0.65</w:t>
            </w:r>
          </w:p>
        </w:tc>
      </w:tr>
      <w:tr>
        <w:tc>
          <w:tcPr/>
          <w:p>
            <w:pPr>
              <w:pStyle w:val="Compact"/>
            </w:pPr>
            <w:r>
              <w:t xml:space="preserve">8</w:t>
            </w:r>
          </w:p>
        </w:tc>
        <w:tc>
          <w:tcPr/>
          <w:p>
            <w:pPr>
              <w:pStyle w:val="Compact"/>
              <w:jc w:val="right"/>
            </w:pPr>
            <w:r>
              <w:t xml:space="preserve">2,463</w:t>
            </w:r>
          </w:p>
        </w:tc>
        <w:tc>
          <w:tcPr/>
          <w:p>
            <w:pPr>
              <w:pStyle w:val="Compact"/>
              <w:jc w:val="right"/>
            </w:pPr>
            <w:r>
              <w:t xml:space="preserve">21,975</w:t>
            </w:r>
          </w:p>
        </w:tc>
        <w:tc>
          <w:tcPr/>
          <w:p>
            <w:pPr>
              <w:pStyle w:val="Compact"/>
              <w:jc w:val="right"/>
            </w:pPr>
            <w:r>
              <w:t xml:space="preserve">18,609</w:t>
            </w:r>
          </w:p>
        </w:tc>
        <w:tc>
          <w:tcPr/>
          <w:p>
            <w:pPr>
              <w:pStyle w:val="Compact"/>
              <w:jc w:val="right"/>
            </w:pPr>
            <w:r>
              <w:t xml:space="preserve">0.847</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32,965</w:t>
            </w:r>
          </w:p>
        </w:tc>
        <w:tc>
          <w:tcPr/>
          <w:p>
            <w:pPr>
              <w:pStyle w:val="Compact"/>
              <w:jc w:val="right"/>
            </w:pPr>
            <w:r>
              <w:t xml:space="preserve">37,389</w:t>
            </w:r>
          </w:p>
        </w:tc>
        <w:tc>
          <w:tcPr/>
          <w:p>
            <w:pPr>
              <w:pStyle w:val="Compact"/>
              <w:jc w:val="right"/>
            </w:pPr>
            <w:r>
              <w:t xml:space="preserve">1.134</w:t>
            </w:r>
          </w:p>
        </w:tc>
        <w:tc>
          <w:tcPr/>
          <w:p>
            <w:pPr>
              <w:pStyle w:val="Compact"/>
              <w:jc w:val="right"/>
            </w:pPr>
            <w:r>
              <w:t xml:space="preserve">1.90</w:t>
            </w:r>
          </w:p>
        </w:tc>
      </w:tr>
      <w:tr>
        <w:tc>
          <w:tcPr/>
          <w:p>
            <w:pPr>
              <w:pStyle w:val="Compact"/>
            </w:pPr>
            <w:r>
              <w:t xml:space="preserve">10</w:t>
            </w:r>
          </w:p>
        </w:tc>
        <w:tc>
          <w:tcPr/>
          <w:p>
            <w:pPr>
              <w:pStyle w:val="Compact"/>
              <w:jc w:val="right"/>
            </w:pPr>
            <w:r>
              <w:t xml:space="preserve">2,463</w:t>
            </w:r>
          </w:p>
        </w:tc>
        <w:tc>
          <w:tcPr/>
          <w:p>
            <w:pPr>
              <w:pStyle w:val="Compact"/>
              <w:jc w:val="right"/>
            </w:pPr>
            <w:r>
              <w:t xml:space="preserve">82,286</w:t>
            </w:r>
          </w:p>
        </w:tc>
        <w:tc>
          <w:tcPr/>
          <w:p>
            <w:pPr>
              <w:pStyle w:val="Compact"/>
              <w:jc w:val="right"/>
            </w:pPr>
            <w:r>
              <w:t xml:space="preserve">83,195</w:t>
            </w:r>
          </w:p>
        </w:tc>
        <w:tc>
          <w:tcPr/>
          <w:p>
            <w:pPr>
              <w:pStyle w:val="Compact"/>
              <w:jc w:val="right"/>
            </w:pPr>
            <w:r>
              <w:t xml:space="preserve">1.011</w:t>
            </w:r>
          </w:p>
        </w:tc>
        <w:tc>
          <w:tcPr/>
          <w:p>
            <w:pPr>
              <w:pStyle w:val="Compact"/>
              <w:jc w:val="right"/>
            </w:pPr>
            <w:r>
              <w:t xml:space="preserve">4.23</w:t>
            </w:r>
          </w:p>
        </w:tc>
      </w:tr>
    </w:tbl>
    <w:p>
      <w:pPr>
        <w:pStyle w:val="BodyText"/>
      </w:pPr>
      <w:r>
        <w:rPr>
          <w:b/>
          <w:bCs/>
        </w:rPr>
        <w:t xml:space="preserve">Table A8.</w:t>
      </w:r>
      <w:r>
        <w:t xml:space="preserve"> </w:t>
      </w:r>
      <w:r>
        <w:t xml:space="preserve">Probability of ruin over three years for a 20,000-life pool with no opening capital, and the medical-inflation stress.</w:t>
      </w:r>
    </w:p>
    <w:p>
      <w:pPr>
        <w:pStyle w:val="BodyText"/>
      </w:pPr>
      <w:r>
        <w:rPr>
          <w:i/>
          <w:iCs/>
        </w:rPr>
        <w:t xml:space="preserve">The full grid across pool sizes of 5,000 to 100,000, take-up patterns, subsidy levels in 5% steps, horizons and capital multiples is in output/tables/table6b_ruin_scenarios.csv. The stress is a permanent 25% rise in claims from year 2.</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0.7195</w:t>
            </w:r>
          </w:p>
        </w:tc>
        <w:tc>
          <w:tcPr/>
          <w:p>
            <w:pPr>
              <w:pStyle w:val="Compact"/>
              <w:jc w:val="right"/>
            </w:pPr>
            <w:r>
              <w:t xml:space="preserve">0.0045</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0.0002</w:t>
            </w:r>
          </w:p>
        </w:tc>
        <w:tc>
          <w:tcPr/>
          <w:p>
            <w:pPr>
              <w:pStyle w:val="Compact"/>
              <w:jc w:val="right"/>
            </w:pPr>
            <w:r>
              <w:t xml:space="preserve">0.0001</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Claims shock</w:t>
            </w:r>
          </w:p>
        </w:tc>
        <w:tc>
          <w:tcPr/>
          <w:p>
            <w:pPr>
              <w:pStyle w:val="Compact"/>
              <w:jc w:val="right"/>
            </w:pPr>
            <w:r>
              <w:t xml:space="preserve">Take-up</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15,339</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32,205</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51,401</w:t>
            </w:r>
          </w:p>
        </w:tc>
      </w:tr>
      <w:tr>
        <w:tc>
          <w:tcPr/>
          <w:p>
            <w:pPr>
              <w:pStyle w:val="Compact"/>
            </w:pPr>
            <w:r>
              <w:t xml:space="preserve">25%</w:t>
            </w:r>
          </w:p>
        </w:tc>
        <w:tc>
          <w:tcPr/>
          <w:p>
            <w:pPr>
              <w:pStyle w:val="Compact"/>
              <w:jc w:val="right"/>
            </w:pPr>
            <w:r>
              <w:t xml:space="preserve">Random</w:t>
            </w:r>
          </w:p>
        </w:tc>
        <w:tc>
          <w:tcPr/>
          <w:p>
            <w:pPr>
              <w:pStyle w:val="Compact"/>
              <w:jc w:val="right"/>
            </w:pPr>
            <w:r>
              <w:t xml:space="preserve">18,723</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38,067</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60,213</w:t>
            </w:r>
          </w:p>
        </w:tc>
      </w:tr>
    </w:tbl>
    <w:p>
      <w:pPr>
        <w:pStyle w:val="BodyText"/>
      </w:pPr>
      <w:r>
        <w:rPr>
          <w:b/>
          <w:bCs/>
        </w:rPr>
        <w:t xml:space="preserve">Table A9.</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41.1%</w:t>
            </w:r>
          </w:p>
        </w:tc>
        <w:tc>
          <w:tcPr/>
          <w:p>
            <w:pPr>
              <w:pStyle w:val="Compact"/>
              <w:jc w:val="right"/>
            </w:pPr>
            <w:r>
              <w:t xml:space="preserve">9.3</w:t>
            </w:r>
          </w:p>
        </w:tc>
        <w:tc>
          <w:tcPr/>
          <w:p>
            <w:pPr>
              <w:pStyle w:val="Compact"/>
              <w:jc w:val="right"/>
            </w:pPr>
            <w:r>
              <w:t xml:space="preserve">1.9</w:t>
            </w:r>
          </w:p>
        </w:tc>
        <w:tc>
          <w:tcPr/>
          <w:p>
            <w:pPr>
              <w:pStyle w:val="Compact"/>
              <w:jc w:val="right"/>
            </w:pPr>
            <w:r>
              <w:t xml:space="preserve">4.4</w:t>
            </w:r>
          </w:p>
        </w:tc>
        <w:tc>
          <w:tcPr/>
          <w:p>
            <w:pPr>
              <w:pStyle w:val="Compact"/>
              <w:jc w:val="right"/>
            </w:pPr>
            <w:r>
              <w:t xml:space="preserve">59.7</w:t>
            </w:r>
          </w:p>
        </w:tc>
        <w:tc>
          <w:tcPr/>
          <w:p>
            <w:pPr>
              <w:pStyle w:val="Compact"/>
              <w:jc w:val="right"/>
            </w:pPr>
            <w:r>
              <w:t xml:space="preserve">76,925</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41.1%</w:t>
            </w:r>
          </w:p>
        </w:tc>
        <w:tc>
          <w:tcPr/>
          <w:p>
            <w:pPr>
              <w:pStyle w:val="Compact"/>
              <w:jc w:val="right"/>
            </w:pPr>
            <w:r>
              <w:t xml:space="preserve">13.2</w:t>
            </w:r>
          </w:p>
        </w:tc>
        <w:tc>
          <w:tcPr/>
          <w:p>
            <w:pPr>
              <w:pStyle w:val="Compact"/>
              <w:jc w:val="right"/>
            </w:pPr>
            <w:r>
              <w:t xml:space="preserve">2.0</w:t>
            </w:r>
          </w:p>
        </w:tc>
        <w:tc>
          <w:tcPr/>
          <w:p>
            <w:pPr>
              <w:pStyle w:val="Compact"/>
              <w:jc w:val="right"/>
            </w:pPr>
            <w:r>
              <w:t xml:space="preserve">8.1</w:t>
            </w:r>
          </w:p>
        </w:tc>
        <w:tc>
          <w:tcPr/>
          <w:p>
            <w:pPr>
              <w:pStyle w:val="Compact"/>
              <w:jc w:val="right"/>
            </w:pPr>
            <w:r>
              <w:t xml:space="preserve">60.3</w:t>
            </w:r>
          </w:p>
        </w:tc>
        <w:tc>
          <w:tcPr/>
          <w:p>
            <w:pPr>
              <w:pStyle w:val="Compact"/>
              <w:jc w:val="right"/>
            </w:pPr>
            <w:r>
              <w:t xml:space="preserve">107,606</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1.5</w:t>
            </w:r>
          </w:p>
        </w:tc>
        <w:tc>
          <w:tcPr/>
          <w:p>
            <w:pPr>
              <w:pStyle w:val="Compact"/>
              <w:jc w:val="right"/>
            </w:pPr>
            <w:r>
              <w:t xml:space="preserve">59.1</w:t>
            </w:r>
          </w:p>
        </w:tc>
        <w:tc>
          <w:tcPr/>
          <w:p>
            <w:pPr>
              <w:pStyle w:val="Compact"/>
              <w:jc w:val="right"/>
            </w:pPr>
            <w:r>
              <w:t xml:space="preserve">46,257</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11.5</w:t>
            </w:r>
          </w:p>
        </w:tc>
        <w:tc>
          <w:tcPr/>
          <w:p>
            <w:pPr>
              <w:pStyle w:val="Compact"/>
              <w:jc w:val="right"/>
            </w:pPr>
            <w:r>
              <w:t xml:space="preserve">1.2</w:t>
            </w:r>
          </w:p>
        </w:tc>
        <w:tc>
          <w:tcPr/>
          <w:p>
            <w:pPr>
              <w:pStyle w:val="Compact"/>
              <w:jc w:val="right"/>
            </w:pPr>
            <w:r>
              <w:t xml:space="preserve">8.4</w:t>
            </w:r>
          </w:p>
        </w:tc>
        <w:tc>
          <w:tcPr/>
          <w:p>
            <w:pPr>
              <w:pStyle w:val="Compact"/>
              <w:jc w:val="right"/>
            </w:pPr>
            <w:r>
              <w:t xml:space="preserve">60.3</w:t>
            </w:r>
          </w:p>
        </w:tc>
        <w:tc>
          <w:tcPr/>
          <w:p>
            <w:pPr>
              <w:pStyle w:val="Compact"/>
              <w:jc w:val="right"/>
            </w:pPr>
            <w:r>
              <w:t xml:space="preserve">105,844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4.2</w:t>
            </w:r>
          </w:p>
        </w:tc>
        <w:tc>
          <w:tcPr/>
          <w:p>
            <w:pPr>
              <w:pStyle w:val="Compact"/>
              <w:jc w:val="right"/>
            </w:pPr>
            <w:r>
              <w:t xml:space="preserve">0.8</w:t>
            </w:r>
          </w:p>
        </w:tc>
        <w:tc>
          <w:tcPr/>
          <w:p>
            <w:pPr>
              <w:pStyle w:val="Compact"/>
              <w:jc w:val="right"/>
            </w:pPr>
            <w:r>
              <w:t xml:space="preserve">1.4</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5.7</w:t>
            </w:r>
          </w:p>
        </w:tc>
        <w:tc>
          <w:tcPr/>
          <w:p>
            <w:pPr>
              <w:pStyle w:val="Compact"/>
              <w:jc w:val="right"/>
            </w:pPr>
            <w:r>
              <w:t xml:space="preserve">60.3</w:t>
            </w:r>
          </w:p>
        </w:tc>
        <w:tc>
          <w:tcPr/>
          <w:p>
            <w:pPr>
              <w:pStyle w:val="Compact"/>
              <w:jc w:val="right"/>
            </w:pPr>
            <w:r>
              <w:t xml:space="preserve">132,250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4.3</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7.6</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60.3</w:t>
            </w:r>
          </w:p>
        </w:tc>
        <w:tc>
          <w:tcPr/>
          <w:p>
            <w:pPr>
              <w:pStyle w:val="Compact"/>
              <w:jc w:val="right"/>
            </w:pPr>
            <w:r>
              <w:t xml:space="preserve">105,634</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100.0%</w:t>
            </w:r>
          </w:p>
        </w:tc>
        <w:tc>
          <w:tcPr/>
          <w:p>
            <w:pPr>
              <w:pStyle w:val="Compact"/>
              <w:jc w:val="right"/>
            </w:pPr>
            <w:r>
              <w:t xml:space="preserve">1.6</w:t>
            </w:r>
          </w:p>
        </w:tc>
        <w:tc>
          <w:tcPr/>
          <w:p>
            <w:pPr>
              <w:pStyle w:val="Compact"/>
              <w:jc w:val="right"/>
            </w:pPr>
            <w:r>
              <w:t xml:space="preserve">0.3</w:t>
            </w:r>
          </w:p>
        </w:tc>
        <w:tc>
          <w:tcPr/>
          <w:p>
            <w:pPr>
              <w:pStyle w:val="Compact"/>
              <w:jc w:val="right"/>
            </w:pPr>
            <w:r>
              <w:t xml:space="preserve">0.5</w:t>
            </w:r>
          </w:p>
        </w:tc>
        <w:tc>
          <w:tcPr/>
          <w:p>
            <w:pPr>
              <w:pStyle w:val="Compact"/>
              <w:jc w:val="right"/>
            </w:pPr>
            <w:r>
              <w:t xml:space="preserve">58.7</w:t>
            </w:r>
          </w:p>
        </w:tc>
        <w:tc>
          <w:tcPr/>
          <w:p>
            <w:pPr>
              <w:pStyle w:val="Compact"/>
              <w:jc w:val="right"/>
            </w:pPr>
            <w:r>
              <w:t xml:space="preserve">27,603</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100.0%</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101,782</w:t>
            </w:r>
          </w:p>
        </w:tc>
      </w:tr>
    </w:tbl>
    <w:p>
      <w:pPr>
        <w:pStyle w:val="BodyText"/>
      </w:pPr>
      <w:r>
        <w:rPr>
          <w:b/>
          <w:bCs/>
        </w:rPr>
        <w:t xml:space="preserve">Table A10.</w:t>
      </w:r>
      <w:r>
        <w:t xml:space="preserve"> </w:t>
      </w:r>
      <w:r>
        <w:t xml:space="preserve">Counterfactual catastrophic spending by consumption quintile, out-of-pocket plus contribution basis (percent).</w:t>
      </w:r>
    </w:p>
    <w:p>
      <w:pPr>
        <w:pStyle w:val="BodyText"/>
      </w:pPr>
      <w:r>
        <w:rPr>
          <w:i/>
          <w:iCs/>
        </w:rPr>
        <w:t xml:space="preserve">Design-based 95% intervals for every cell are in output/tables/table7c_by_quintile.csv.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Q1 (poorest)</w:t>
            </w:r>
          </w:p>
        </w:tc>
        <w:tc>
          <w:tcPr/>
          <w:p>
            <w:pPr>
              <w:pStyle w:val="Compact"/>
              <w:jc w:val="right"/>
            </w:pPr>
            <w:r>
              <w:t xml:space="preserve">Q2</w:t>
            </w:r>
          </w:p>
        </w:tc>
        <w:tc>
          <w:tcPr/>
          <w:p>
            <w:pPr>
              <w:pStyle w:val="Compact"/>
              <w:jc w:val="right"/>
            </w:pPr>
            <w:r>
              <w:t xml:space="preserve">Q3</w:t>
            </w:r>
          </w:p>
        </w:tc>
        <w:tc>
          <w:tcPr/>
          <w:p>
            <w:pPr>
              <w:pStyle w:val="Compact"/>
              <w:jc w:val="right"/>
            </w:pPr>
            <w:r>
              <w:t xml:space="preserve">Q4</w:t>
            </w:r>
          </w:p>
        </w:tc>
        <w:tc>
          <w:tcPr/>
          <w:p>
            <w:pPr>
              <w:pStyle w:val="Compact"/>
              <w:jc w:val="right"/>
            </w:pPr>
            <w:r>
              <w:t xml:space="preserve">Q5 (richest)</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11.9</w:t>
            </w:r>
          </w:p>
        </w:tc>
        <w:tc>
          <w:tcPr/>
          <w:p>
            <w:pPr>
              <w:pStyle w:val="Compact"/>
              <w:jc w:val="right"/>
            </w:pPr>
            <w:r>
              <w:t xml:space="preserve">14.4</w:t>
            </w:r>
          </w:p>
        </w:tc>
        <w:tc>
          <w:tcPr/>
          <w:p>
            <w:pPr>
              <w:pStyle w:val="Compact"/>
              <w:jc w:val="right"/>
            </w:pPr>
            <w:r>
              <w:t xml:space="preserve">14.2</w:t>
            </w:r>
          </w:p>
        </w:tc>
        <w:tc>
          <w:tcPr/>
          <w:p>
            <w:pPr>
              <w:pStyle w:val="Compact"/>
              <w:jc w:val="right"/>
            </w:pPr>
            <w:r>
              <w:t xml:space="preserve">14.6</w:t>
            </w:r>
          </w:p>
        </w:tc>
        <w:tc>
          <w:tcPr/>
          <w:p>
            <w:pPr>
              <w:pStyle w:val="Compact"/>
              <w:jc w:val="right"/>
            </w:pPr>
            <w:r>
              <w:t xml:space="preserve">15.6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9.9</w:t>
            </w:r>
          </w:p>
        </w:tc>
        <w:tc>
          <w:tcPr/>
          <w:p>
            <w:pPr>
              <w:pStyle w:val="Compact"/>
              <w:jc w:val="right"/>
            </w:pPr>
            <w:r>
              <w:t xml:space="preserve">11.2</w:t>
            </w:r>
          </w:p>
        </w:tc>
        <w:tc>
          <w:tcPr/>
          <w:p>
            <w:pPr>
              <w:pStyle w:val="Compact"/>
              <w:jc w:val="right"/>
            </w:pPr>
            <w:r>
              <w:t xml:space="preserve">6.4</w:t>
            </w:r>
          </w:p>
        </w:tc>
        <w:tc>
          <w:tcPr/>
          <w:p>
            <w:pPr>
              <w:pStyle w:val="Compact"/>
              <w:jc w:val="right"/>
            </w:pPr>
            <w:r>
              <w:t xml:space="preserve">7.6</w:t>
            </w:r>
          </w:p>
        </w:tc>
        <w:tc>
          <w:tcPr/>
          <w:p>
            <w:pPr>
              <w:pStyle w:val="Compact"/>
              <w:jc w:val="right"/>
            </w:pPr>
            <w:r>
              <w:t xml:space="preserve">4.4</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22.5</w:t>
            </w:r>
          </w:p>
        </w:tc>
        <w:tc>
          <w:tcPr/>
          <w:p>
            <w:pPr>
              <w:pStyle w:val="Compact"/>
              <w:jc w:val="right"/>
            </w:pPr>
            <w:r>
              <w:t xml:space="preserve">11.8</w:t>
            </w:r>
          </w:p>
        </w:tc>
        <w:tc>
          <w:tcPr/>
          <w:p>
            <w:pPr>
              <w:pStyle w:val="Compact"/>
              <w:jc w:val="right"/>
            </w:pPr>
            <w:r>
              <w:t xml:space="preserve">9.7</w:t>
            </w:r>
          </w:p>
        </w:tc>
        <w:tc>
          <w:tcPr/>
          <w:p>
            <w:pPr>
              <w:pStyle w:val="Compact"/>
              <w:jc w:val="right"/>
            </w:pPr>
            <w:r>
              <w:t xml:space="preserve">10.4</w:t>
            </w:r>
          </w:p>
        </w:tc>
        <w:tc>
          <w:tcPr/>
          <w:p>
            <w:pPr>
              <w:pStyle w:val="Compact"/>
              <w:jc w:val="right"/>
            </w:pPr>
            <w:r>
              <w:t xml:space="preserve">11.7</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19.2</w:t>
            </w:r>
          </w:p>
        </w:tc>
        <w:tc>
          <w:tcPr/>
          <w:p>
            <w:pPr>
              <w:pStyle w:val="Compact"/>
              <w:jc w:val="right"/>
            </w:pPr>
            <w:r>
              <w:t xml:space="preserve">9.8</w:t>
            </w:r>
          </w:p>
        </w:tc>
        <w:tc>
          <w:tcPr/>
          <w:p>
            <w:pPr>
              <w:pStyle w:val="Compact"/>
              <w:jc w:val="right"/>
            </w:pPr>
            <w:r>
              <w:t xml:space="preserve">4.2</w:t>
            </w:r>
          </w:p>
        </w:tc>
        <w:tc>
          <w:tcPr/>
          <w:p>
            <w:pPr>
              <w:pStyle w:val="Compact"/>
              <w:jc w:val="right"/>
            </w:pPr>
            <w:r>
              <w:t xml:space="preserve">4.6</w:t>
            </w:r>
          </w:p>
        </w:tc>
        <w:tc>
          <w:tcPr/>
          <w:p>
            <w:pPr>
              <w:pStyle w:val="Compact"/>
              <w:jc w:val="right"/>
            </w:pPr>
            <w:r>
              <w:t xml:space="preserve">2.4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31.0</w:t>
            </w:r>
          </w:p>
        </w:tc>
        <w:tc>
          <w:tcPr/>
          <w:p>
            <w:pPr>
              <w:pStyle w:val="Compact"/>
              <w:jc w:val="right"/>
            </w:pPr>
            <w:r>
              <w:t xml:space="preserve">7.1</w:t>
            </w:r>
          </w:p>
        </w:tc>
        <w:tc>
          <w:tcPr/>
          <w:p>
            <w:pPr>
              <w:pStyle w:val="Compact"/>
              <w:jc w:val="right"/>
            </w:pPr>
            <w:r>
              <w:t xml:space="preserve">6.0</w:t>
            </w:r>
          </w:p>
        </w:tc>
        <w:tc>
          <w:tcPr/>
          <w:p>
            <w:pPr>
              <w:pStyle w:val="Compact"/>
              <w:jc w:val="right"/>
            </w:pPr>
            <w:r>
              <w:t xml:space="preserve">7.1</w:t>
            </w:r>
          </w:p>
        </w:tc>
        <w:tc>
          <w:tcPr/>
          <w:p>
            <w:pPr>
              <w:pStyle w:val="Compact"/>
              <w:jc w:val="right"/>
            </w:pPr>
            <w:r>
              <w:t xml:space="preserve">6.5</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28.3</w:t>
            </w:r>
          </w:p>
        </w:tc>
        <w:tc>
          <w:tcPr/>
          <w:p>
            <w:pPr>
              <w:pStyle w:val="Compact"/>
              <w:jc w:val="right"/>
            </w:pPr>
            <w:r>
              <w:t xml:space="preserve">7.5</w:t>
            </w:r>
          </w:p>
        </w:tc>
        <w:tc>
          <w:tcPr/>
          <w:p>
            <w:pPr>
              <w:pStyle w:val="Compact"/>
              <w:jc w:val="right"/>
            </w:pPr>
            <w:r>
              <w:t xml:space="preserve">2.4</w:t>
            </w:r>
          </w:p>
        </w:tc>
        <w:tc>
          <w:tcPr/>
          <w:p>
            <w:pPr>
              <w:pStyle w:val="Compact"/>
              <w:jc w:val="right"/>
            </w:pPr>
            <w:r>
              <w:t xml:space="preserve">2.5</w:t>
            </w:r>
          </w:p>
        </w:tc>
        <w:tc>
          <w:tcPr/>
          <w:p>
            <w:pPr>
              <w:pStyle w:val="Compact"/>
              <w:jc w:val="right"/>
            </w:pPr>
            <w:r>
              <w:t xml:space="preserve">1.5</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7.5</w:t>
            </w:r>
          </w:p>
        </w:tc>
        <w:tc>
          <w:tcPr/>
          <w:p>
            <w:pPr>
              <w:pStyle w:val="Compact"/>
              <w:jc w:val="right"/>
            </w:pPr>
            <w:r>
              <w:t xml:space="preserve">10.9</w:t>
            </w:r>
          </w:p>
        </w:tc>
        <w:tc>
          <w:tcPr/>
          <w:p>
            <w:pPr>
              <w:pStyle w:val="Compact"/>
              <w:jc w:val="right"/>
            </w:pPr>
            <w:r>
              <w:t xml:space="preserve">12.0</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3.4</w:t>
            </w:r>
          </w:p>
        </w:tc>
        <w:tc>
          <w:tcPr/>
          <w:p>
            <w:pPr>
              <w:pStyle w:val="Compact"/>
              <w:jc w:val="right"/>
            </w:pPr>
            <w:r>
              <w:t xml:space="preserve">3.5</w:t>
            </w:r>
          </w:p>
        </w:tc>
        <w:tc>
          <w:tcPr/>
          <w:p>
            <w:pPr>
              <w:pStyle w:val="Compact"/>
              <w:jc w:val="right"/>
            </w:pPr>
            <w:r>
              <w:t xml:space="preserve">1.9</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12.6</w:t>
            </w:r>
          </w:p>
        </w:tc>
        <w:tc>
          <w:tcPr/>
          <w:p>
            <w:pPr>
              <w:pStyle w:val="Compact"/>
              <w:jc w:val="right"/>
            </w:pPr>
            <w:r>
              <w:t xml:space="preserve">7.1</w:t>
            </w:r>
          </w:p>
        </w:tc>
        <w:tc>
          <w:tcPr/>
          <w:p>
            <w:pPr>
              <w:pStyle w:val="Compact"/>
              <w:jc w:val="right"/>
            </w:pPr>
            <w:r>
              <w:t xml:space="preserve">7.5</w:t>
            </w:r>
          </w:p>
        </w:tc>
        <w:tc>
          <w:tcPr/>
          <w:p>
            <w:pPr>
              <w:pStyle w:val="Compact"/>
              <w:jc w:val="right"/>
            </w:pPr>
            <w:r>
              <w:t xml:space="preserve">10.9</w:t>
            </w:r>
          </w:p>
        </w:tc>
        <w:tc>
          <w:tcPr/>
          <w:p>
            <w:pPr>
              <w:pStyle w:val="Compact"/>
              <w:jc w:val="right"/>
            </w:pPr>
            <w:r>
              <w:t xml:space="preserve">12.0</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12.3</w:t>
            </w:r>
          </w:p>
        </w:tc>
        <w:tc>
          <w:tcPr/>
          <w:p>
            <w:pPr>
              <w:pStyle w:val="Compact"/>
              <w:jc w:val="right"/>
            </w:pPr>
            <w:r>
              <w:t xml:space="preserve">7.5</w:t>
            </w:r>
          </w:p>
        </w:tc>
        <w:tc>
          <w:tcPr/>
          <w:p>
            <w:pPr>
              <w:pStyle w:val="Compact"/>
              <w:jc w:val="right"/>
            </w:pPr>
            <w:r>
              <w:t xml:space="preserve">3.4</w:t>
            </w:r>
          </w:p>
        </w:tc>
        <w:tc>
          <w:tcPr/>
          <w:p>
            <w:pPr>
              <w:pStyle w:val="Compact"/>
              <w:jc w:val="right"/>
            </w:pPr>
            <w:r>
              <w:t xml:space="preserve">3.5</w:t>
            </w:r>
          </w:p>
        </w:tc>
        <w:tc>
          <w:tcPr/>
          <w:p>
            <w:pPr>
              <w:pStyle w:val="Compact"/>
              <w:jc w:val="right"/>
            </w:pPr>
            <w:r>
              <w:t xml:space="preserve">1.9</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3.4</w:t>
            </w:r>
          </w:p>
        </w:tc>
        <w:tc>
          <w:tcPr/>
          <w:p>
            <w:pPr>
              <w:pStyle w:val="Compact"/>
              <w:jc w:val="right"/>
            </w:pPr>
            <w:r>
              <w:t xml:space="preserve">5.4</w:t>
            </w:r>
          </w:p>
        </w:tc>
        <w:tc>
          <w:tcPr/>
          <w:p>
            <w:pPr>
              <w:pStyle w:val="Compact"/>
              <w:jc w:val="right"/>
            </w:pPr>
            <w:r>
              <w:t xml:space="preserve">5.8</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1.4</w:t>
            </w:r>
          </w:p>
        </w:tc>
        <w:tc>
          <w:tcPr/>
          <w:p>
            <w:pPr>
              <w:pStyle w:val="Compact"/>
              <w:jc w:val="right"/>
            </w:pPr>
            <w:r>
              <w:t xml:space="preserve">2.0</w:t>
            </w:r>
          </w:p>
        </w:tc>
        <w:tc>
          <w:tcPr/>
          <w:p>
            <w:pPr>
              <w:pStyle w:val="Compact"/>
              <w:jc w:val="right"/>
            </w:pPr>
            <w:r>
              <w:t xml:space="preserve">1.3</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32.3</w:t>
            </w:r>
          </w:p>
        </w:tc>
        <w:tc>
          <w:tcPr/>
          <w:p>
            <w:pPr>
              <w:pStyle w:val="Compact"/>
              <w:jc w:val="right"/>
            </w:pPr>
            <w:r>
              <w:t xml:space="preserve">6.0</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3.9</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29.0</w:t>
            </w:r>
          </w:p>
        </w:tc>
        <w:tc>
          <w:tcPr/>
          <w:p>
            <w:pPr>
              <w:pStyle w:val="Compact"/>
              <w:jc w:val="right"/>
            </w:pPr>
            <w:r>
              <w:t xml:space="preserve">6.7</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1.3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14.2</w:t>
            </w:r>
          </w:p>
        </w:tc>
        <w:tc>
          <w:tcPr/>
          <w:p>
            <w:pPr>
              <w:pStyle w:val="Compact"/>
              <w:jc w:val="right"/>
            </w:pPr>
            <w:r>
              <w:t xml:space="preserve">14.6</w:t>
            </w:r>
          </w:p>
        </w:tc>
        <w:tc>
          <w:tcPr/>
          <w:p>
            <w:pPr>
              <w:pStyle w:val="Compact"/>
              <w:jc w:val="right"/>
            </w:pPr>
            <w:r>
              <w:t xml:space="preserve">15.6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6.4</w:t>
            </w:r>
          </w:p>
        </w:tc>
        <w:tc>
          <w:tcPr/>
          <w:p>
            <w:pPr>
              <w:pStyle w:val="Compact"/>
              <w:jc w:val="right"/>
            </w:pPr>
            <w:r>
              <w:t xml:space="preserve">7.6</w:t>
            </w:r>
          </w:p>
        </w:tc>
        <w:tc>
          <w:tcPr/>
          <w:p>
            <w:pPr>
              <w:pStyle w:val="Compact"/>
              <w:jc w:val="right"/>
            </w:pPr>
            <w:r>
              <w:t xml:space="preserve">4.4</w:t>
            </w:r>
          </w:p>
        </w:tc>
      </w:tr>
    </w:tbl>
    <w:p>
      <w:pPr>
        <w:pStyle w:val="BodyText"/>
      </w:pPr>
      <w:r>
        <w:rPr>
          <w:b/>
          <w:bCs/>
        </w:rPr>
        <w:t xml:space="preserve">Table A11.</w:t>
      </w:r>
      <w:r>
        <w:t xml:space="preserve"> </w:t>
      </w:r>
      <w:r>
        <w:t xml:space="preserve">Robustness grid.</w:t>
      </w:r>
    </w:p>
    <w:p>
      <w:pPr>
        <w:pStyle w:val="BodyText"/>
      </w:pPr>
      <w:r>
        <w:rPr>
          <w:i/>
          <w:iCs/>
        </w:rPr>
        <w:t xml:space="preserve">Each row changes one decision. Subsidies are for a 20,000-life pool over three years, ruin below 5%, 4,000 simulations.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Check</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Contribution</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Main specification</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Uncalibrated consumption aggregate</w:t>
            </w:r>
          </w:p>
        </w:tc>
        <w:tc>
          <w:tcPr/>
          <w:p>
            <w:pPr>
              <w:pStyle w:val="Compact"/>
              <w:jc w:val="right"/>
            </w:pPr>
            <w:r>
              <w:t xml:space="preserve">16.7</w:t>
            </w:r>
          </w:p>
        </w:tc>
        <w:tc>
          <w:tcPr/>
          <w:p>
            <w:pPr>
              <w:pStyle w:val="Compact"/>
              <w:jc w:val="right"/>
            </w:pPr>
            <w:r>
              <w:t xml:space="preserve">11.3</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8,571</w:t>
            </w:r>
          </w:p>
        </w:tc>
        <w:tc>
          <w:tcPr/>
          <w:p>
            <w:pPr>
              <w:pStyle w:val="Compact"/>
              <w:jc w:val="right"/>
            </w:pPr>
            <w:r>
              <w:t xml:space="preserve">16,839</w:t>
            </w:r>
          </w:p>
        </w:tc>
        <w:tc>
          <w:tcPr/>
          <w:p>
            <w:pPr>
              <w:pStyle w:val="Compact"/>
              <w:jc w:val="right"/>
            </w:pPr>
            <w:r>
              <w:t xml:space="preserve">52,890</w:t>
            </w:r>
          </w:p>
        </w:tc>
      </w:tr>
      <w:tr>
        <w:tc>
          <w:tcPr/>
          <w:p>
            <w:pPr>
              <w:pStyle w:val="Compact"/>
            </w:pPr>
            <w:r>
              <w:t xml:space="preserve">Equivalence scale hhsize^0.5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hhsize^0.75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hhsize^1.0</w:t>
            </w:r>
          </w:p>
        </w:tc>
        <w:tc>
          <w:tcPr/>
          <w:p>
            <w:pPr>
              <w:pStyle w:val="Compact"/>
              <w:jc w:val="right"/>
            </w:pPr>
            <w:r>
              <w:t xml:space="preserve">14.1</w:t>
            </w:r>
          </w:p>
        </w:tc>
        <w:tc>
          <w:tcPr/>
          <w:p>
            <w:pPr>
              <w:pStyle w:val="Compact"/>
              <w:jc w:val="right"/>
            </w:pPr>
            <w:r>
              <w:t xml:space="preserve">7.8</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annualiser x12</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9,996</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Outpatient annualiser x10</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9,930</w:t>
            </w:r>
          </w:p>
        </w:tc>
        <w:tc>
          <w:tcPr/>
          <w:p>
            <w:pPr>
              <w:pStyle w:val="Compact"/>
              <w:jc w:val="right"/>
            </w:pPr>
            <w:r>
              <w:t xml:space="preserve">10,076</w:t>
            </w:r>
          </w:p>
        </w:tc>
        <w:tc>
          <w:tcPr/>
          <w:p>
            <w:pPr>
              <w:pStyle w:val="Compact"/>
              <w:jc w:val="right"/>
            </w:pPr>
            <w:r>
              <w:t xml:space="preserve">38,788</w:t>
            </w:r>
          </w:p>
        </w:tc>
      </w:tr>
      <w:tr>
        <w:tc>
          <w:tcPr/>
          <w:p>
            <w:pPr>
              <w:pStyle w:val="Compact"/>
            </w:pPr>
            <w:r>
              <w:t xml:space="preserve">Outpatient annualiser x6</w:t>
            </w:r>
          </w:p>
        </w:tc>
        <w:tc>
          <w:tcPr/>
          <w:p>
            <w:pPr>
              <w:pStyle w:val="Compact"/>
              <w:jc w:val="right"/>
            </w:pPr>
            <w:r>
              <w:t xml:space="preserve">6.0</w:t>
            </w:r>
          </w:p>
        </w:tc>
        <w:tc>
          <w:tcPr/>
          <w:p>
            <w:pPr>
              <w:pStyle w:val="Compact"/>
              <w:jc w:val="right"/>
            </w:pPr>
            <w:r>
              <w:t xml:space="preserve">2.7</w:t>
            </w:r>
          </w:p>
        </w:tc>
        <w:tc>
          <w:tcPr/>
          <w:p>
            <w:pPr>
              <w:pStyle w:val="Compact"/>
              <w:jc w:val="right"/>
            </w:pPr>
            <w:r>
              <w:t xml:space="preserve">10,854</w:t>
            </w:r>
          </w:p>
        </w:tc>
        <w:tc>
          <w:tcPr/>
          <w:p>
            <w:pPr>
              <w:pStyle w:val="Compact"/>
              <w:jc w:val="right"/>
            </w:pPr>
            <w:r>
              <w:t xml:space="preserve">13,787</w:t>
            </w:r>
          </w:p>
        </w:tc>
        <w:tc>
          <w:tcPr/>
          <w:p>
            <w:pPr>
              <w:pStyle w:val="Compact"/>
              <w:jc w:val="right"/>
            </w:pPr>
            <w:r>
              <w:t xml:space="preserve">9,796</w:t>
            </w:r>
          </w:p>
        </w:tc>
        <w:tc>
          <w:tcPr/>
          <w:p>
            <w:pPr>
              <w:pStyle w:val="Compact"/>
              <w:jc w:val="right"/>
            </w:pPr>
            <w:r>
              <w:t xml:space="preserve">3,043</w:t>
            </w:r>
          </w:p>
        </w:tc>
        <w:tc>
          <w:tcPr/>
          <w:p>
            <w:pPr>
              <w:pStyle w:val="Compact"/>
              <w:jc w:val="right"/>
            </w:pPr>
            <w:r>
              <w:t xml:space="preserve">22,032</w:t>
            </w:r>
          </w:p>
        </w:tc>
      </w:tr>
      <w:tr>
        <w:tc>
          <w:tcPr/>
          <w:p>
            <w:pPr>
              <w:pStyle w:val="Compact"/>
            </w:pPr>
            <w:r>
              <w:t xml:space="preserve">OOP including transport</w:t>
            </w:r>
          </w:p>
        </w:tc>
        <w:tc>
          <w:tcPr/>
          <w:p>
            <w:pPr>
              <w:pStyle w:val="Compact"/>
              <w:jc w:val="right"/>
            </w:pPr>
            <w:r>
              <w:t xml:space="preserve">15.3</w:t>
            </w:r>
          </w:p>
        </w:tc>
        <w:tc>
          <w:tcPr/>
          <w:p>
            <w:pPr>
              <w:pStyle w:val="Compact"/>
              <w:jc w:val="right"/>
            </w:pPr>
            <w:r>
              <w:t xml:space="preserve">8.8</w:t>
            </w:r>
          </w:p>
        </w:tc>
        <w:tc>
          <w:tcPr/>
          <w:p>
            <w:pPr>
              <w:pStyle w:val="Compact"/>
              <w:jc w:val="right"/>
            </w:pPr>
            <w:r>
              <w:t xml:space="preserve">22,959</w:t>
            </w:r>
          </w:p>
        </w:tc>
        <w:tc>
          <w:tcPr/>
          <w:p>
            <w:pPr>
              <w:pStyle w:val="Compact"/>
              <w:jc w:val="right"/>
            </w:pPr>
            <w:r>
              <w:t xml:space="preserve">29,149</w:t>
            </w:r>
          </w:p>
        </w:tc>
        <w:tc>
          <w:tcPr/>
          <w:p>
            <w:pPr>
              <w:pStyle w:val="Compact"/>
              <w:jc w:val="right"/>
            </w:pPr>
            <w:r>
              <w:t xml:space="preserve">10,065</w:t>
            </w:r>
          </w:p>
        </w:tc>
        <w:tc>
          <w:tcPr/>
          <w:p>
            <w:pPr>
              <w:pStyle w:val="Compact"/>
              <w:jc w:val="right"/>
            </w:pPr>
            <w:r>
              <w:t xml:space="preserve">17,057</w:t>
            </w:r>
          </w:p>
        </w:tc>
        <w:tc>
          <w:tcPr/>
          <w:p>
            <w:pPr>
              <w:pStyle w:val="Compact"/>
              <w:jc w:val="right"/>
            </w:pPr>
            <w:r>
              <w:t xml:space="preserve">55,010</w:t>
            </w:r>
          </w:p>
        </w:tc>
      </w:tr>
      <w:tr>
        <w:tc>
          <w:tcPr/>
          <w:p>
            <w:pPr>
              <w:pStyle w:val="Compact"/>
            </w:pPr>
            <w:r>
              <w:t xml:space="preserve">OOP from the wave-5 consumption module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9,542</w:t>
            </w:r>
          </w:p>
        </w:tc>
        <w:tc>
          <w:tcPr/>
          <w:p>
            <w:pPr>
              <w:pStyle w:val="Compact"/>
              <w:jc w:val="right"/>
            </w:pPr>
            <w:r>
              <w:t xml:space="preserve">15,868</w:t>
            </w:r>
          </w:p>
        </w:tc>
        <w:tc>
          <w:tcPr/>
          <w:p>
            <w:pPr>
              <w:pStyle w:val="Compact"/>
              <w:jc w:val="right"/>
            </w:pPr>
            <w:r>
              <w:t xml:space="preserve">51,920</w:t>
            </w:r>
          </w:p>
        </w:tc>
      </w:tr>
      <w:tr>
        <w:tc>
          <w:tcPr/>
          <w:p>
            <w:pPr>
              <w:pStyle w:val="Compact"/>
            </w:pPr>
            <w:r>
              <w:t xml:space="preserve">Top 1% of costs trimmed</w:t>
            </w:r>
          </w:p>
        </w:tc>
        <w:tc>
          <w:tcPr/>
          <w:p>
            <w:pPr>
              <w:pStyle w:val="Compact"/>
              <w:jc w:val="right"/>
            </w:pPr>
            <w:r>
              <w:t xml:space="preserve">13.6</w:t>
            </w:r>
          </w:p>
        </w:tc>
        <w:tc>
          <w:tcPr/>
          <w:p>
            <w:pPr>
              <w:pStyle w:val="Compact"/>
              <w:jc w:val="right"/>
            </w:pPr>
            <w:r>
              <w:t xml:space="preserve">6.6</w:t>
            </w:r>
          </w:p>
        </w:tc>
        <w:tc>
          <w:tcPr/>
          <w:p>
            <w:pPr>
              <w:pStyle w:val="Compact"/>
              <w:jc w:val="right"/>
            </w:pPr>
            <w:r>
              <w:t xml:space="preserve">17,234</w:t>
            </w:r>
          </w:p>
        </w:tc>
        <w:tc>
          <w:tcPr/>
          <w:p>
            <w:pPr>
              <w:pStyle w:val="Compact"/>
              <w:jc w:val="right"/>
            </w:pPr>
            <w:r>
              <w:t xml:space="preserve">21,850</w:t>
            </w:r>
          </w:p>
        </w:tc>
        <w:tc>
          <w:tcPr/>
          <w:p>
            <w:pPr>
              <w:pStyle w:val="Compact"/>
              <w:jc w:val="right"/>
            </w:pPr>
            <w:r>
              <w:t xml:space="preserve">9,994</w:t>
            </w:r>
          </w:p>
        </w:tc>
        <w:tc>
          <w:tcPr/>
          <w:p>
            <w:pPr>
              <w:pStyle w:val="Compact"/>
              <w:jc w:val="right"/>
            </w:pPr>
            <w:r>
              <w:t xml:space="preserve">9,224</w:t>
            </w:r>
          </w:p>
        </w:tc>
        <w:tc>
          <w:tcPr/>
          <w:p>
            <w:pPr>
              <w:pStyle w:val="Compact"/>
              <w:jc w:val="right"/>
            </w:pPr>
            <w:r>
              <w:t xml:space="preserve">31,420</w:t>
            </w:r>
          </w:p>
        </w:tc>
      </w:tr>
      <w:tr>
        <w:tc>
          <w:tcPr/>
          <w:p>
            <w:pPr>
              <w:pStyle w:val="Compact"/>
            </w:pPr>
            <w:r>
              <w:t xml:space="preserve">Formal = public-sector employee only</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10,048</w:t>
            </w:r>
          </w:p>
        </w:tc>
        <w:tc>
          <w:tcPr/>
          <w:p>
            <w:pPr>
              <w:pStyle w:val="Compact"/>
              <w:jc w:val="right"/>
            </w:pPr>
            <w:r>
              <w:t xml:space="preserve">14,996</w:t>
            </w:r>
          </w:p>
        </w:tc>
        <w:tc>
          <w:tcPr/>
          <w:p>
            <w:pPr>
              <w:pStyle w:val="Compact"/>
              <w:jc w:val="right"/>
            </w:pPr>
            <w:r>
              <w:t xml:space="preserve">48,675</w:t>
            </w:r>
          </w:p>
        </w:tc>
      </w:tr>
      <w:tr>
        <w:tc>
          <w:tcPr/>
          <w:p>
            <w:pPr>
              <w:pStyle w:val="Compact"/>
            </w:pPr>
            <w:r>
              <w:t xml:space="preserve">Formal = any wage employee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10,019</w:t>
            </w:r>
          </w:p>
        </w:tc>
        <w:tc>
          <w:tcPr/>
          <w:p>
            <w:pPr>
              <w:pStyle w:val="Compact"/>
              <w:jc w:val="right"/>
            </w:pPr>
            <w:r>
              <w:t xml:space="preserve">15,635</w:t>
            </w:r>
          </w:p>
        </w:tc>
        <w:tc>
          <w:tcPr/>
          <w:p>
            <w:pPr>
              <w:pStyle w:val="Compact"/>
              <w:jc w:val="right"/>
            </w:pPr>
            <w:r>
              <w:t xml:space="preserve">51,763</w:t>
            </w:r>
          </w:p>
        </w:tc>
      </w:tr>
      <w:tr>
        <w:tc>
          <w:tcPr/>
          <w:p>
            <w:pPr>
              <w:pStyle w:val="Compact"/>
            </w:pPr>
            <w:r>
              <w:t xml:space="preserve">Sector set by the household head</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10,039</w:t>
            </w:r>
          </w:p>
        </w:tc>
        <w:tc>
          <w:tcPr/>
          <w:p>
            <w:pPr>
              <w:pStyle w:val="Compact"/>
              <w:jc w:val="right"/>
            </w:pPr>
            <w:r>
              <w:t xml:space="preserve">15,331</w:t>
            </w:r>
          </w:p>
        </w:tc>
        <w:tc>
          <w:tcPr/>
          <w:p>
            <w:pPr>
              <w:pStyle w:val="Compact"/>
              <w:jc w:val="right"/>
            </w:pPr>
            <w:r>
              <w:t xml:space="preserve">49,933</w:t>
            </w:r>
          </w:p>
        </w:tc>
      </w:tr>
      <w:tr>
        <w:tc>
          <w:tcPr/>
          <w:p>
            <w:pPr>
              <w:pStyle w:val="Compact"/>
            </w:pPr>
            <w:r>
              <w:t xml:space="preserve">Tweedie p fixed at 1.4</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51,217</w:t>
            </w:r>
          </w:p>
        </w:tc>
      </w:tr>
      <w:tr>
        <w:tc>
          <w:tcPr/>
          <w:p>
            <w:pPr>
              <w:pStyle w:val="Compact"/>
            </w:pPr>
            <w:r>
              <w:t xml:space="preserve">Tweedie p fixed at 1.5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51,423</w:t>
            </w:r>
          </w:p>
        </w:tc>
      </w:tr>
      <w:tr>
        <w:tc>
          <w:tcPr/>
          <w:p>
            <w:pPr>
              <w:pStyle w:val="Compact"/>
            </w:pPr>
            <w:r>
              <w:t xml:space="preserve">Tweedie p fixed at 1.7</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51,449</w:t>
            </w:r>
          </w:p>
        </w:tc>
      </w:tr>
      <w:tr>
        <w:tc>
          <w:tcPr/>
          <w:p>
            <w:pPr>
              <w:pStyle w:val="Compact"/>
            </w:pPr>
            <w:r>
              <w:t xml:space="preserve">Induced-demand elasticity -0.10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18,014</w:t>
            </w:r>
          </w:p>
        </w:tc>
        <w:tc>
          <w:tcPr/>
          <w:p>
            <w:pPr>
              <w:pStyle w:val="Compact"/>
              <w:jc w:val="right"/>
            </w:pPr>
            <w:r>
              <w:t xml:space="preserve">22,874</w:t>
            </w:r>
          </w:p>
        </w:tc>
        <w:tc>
          <w:tcPr/>
          <w:p>
            <w:pPr>
              <w:pStyle w:val="Compact"/>
              <w:jc w:val="right"/>
            </w:pPr>
            <w:r>
              <w:t xml:space="preserve">10,022</w:t>
            </w:r>
          </w:p>
        </w:tc>
        <w:tc>
          <w:tcPr/>
          <w:p>
            <w:pPr>
              <w:pStyle w:val="Compact"/>
              <w:jc w:val="right"/>
            </w:pPr>
            <w:r>
              <w:t xml:space="preserve">11,253</w:t>
            </w:r>
          </w:p>
        </w:tc>
        <w:tc>
          <w:tcPr/>
          <w:p>
            <w:pPr>
              <w:pStyle w:val="Compact"/>
              <w:jc w:val="right"/>
            </w:pPr>
            <w:r>
              <w:t xml:space="preserve">41,525</w:t>
            </w:r>
          </w:p>
        </w:tc>
      </w:tr>
      <w:tr>
        <w:tc>
          <w:tcPr/>
          <w:p>
            <w:pPr>
              <w:pStyle w:val="Compact"/>
            </w:pPr>
            <w:r>
              <w:t xml:space="preserve">Induced-demand elasticity -0.20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Induced-demand elasticity -0.35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28,240</w:t>
            </w:r>
          </w:p>
        </w:tc>
        <w:tc>
          <w:tcPr/>
          <w:p>
            <w:pPr>
              <w:pStyle w:val="Compact"/>
              <w:jc w:val="right"/>
            </w:pPr>
            <w:r>
              <w:t xml:space="preserve">35,858</w:t>
            </w:r>
          </w:p>
        </w:tc>
        <w:tc>
          <w:tcPr/>
          <w:p>
            <w:pPr>
              <w:pStyle w:val="Compact"/>
              <w:jc w:val="right"/>
            </w:pPr>
            <w:r>
              <w:t xml:space="preserve">10,022</w:t>
            </w:r>
          </w:p>
        </w:tc>
        <w:tc>
          <w:tcPr/>
          <w:p>
            <w:pPr>
              <w:pStyle w:val="Compact"/>
              <w:jc w:val="right"/>
            </w:pPr>
            <w:r>
              <w:t xml:space="preserve">23,393</w:t>
            </w:r>
          </w:p>
        </w:tc>
        <w:tc>
          <w:tcPr/>
          <w:p>
            <w:pPr>
              <w:pStyle w:val="Compact"/>
              <w:jc w:val="right"/>
            </w:pPr>
            <w:r>
              <w:t xml:space="preserve">70,903</w:t>
            </w:r>
          </w:p>
        </w:tc>
      </w:tr>
      <w:tr>
        <w:tc>
          <w:tcPr/>
          <w:p>
            <w:pPr>
              <w:pStyle w:val="Compact"/>
            </w:pPr>
            <w:r>
              <w:t xml:space="preserve">Outpatient covered share 70%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17,983</w:t>
            </w:r>
          </w:p>
        </w:tc>
        <w:tc>
          <w:tcPr/>
          <w:p>
            <w:pPr>
              <w:pStyle w:val="Compact"/>
              <w:jc w:val="right"/>
            </w:pPr>
            <w:r>
              <w:t xml:space="preserve">22,835</w:t>
            </w:r>
          </w:p>
        </w:tc>
        <w:tc>
          <w:tcPr/>
          <w:p>
            <w:pPr>
              <w:pStyle w:val="Compact"/>
              <w:jc w:val="right"/>
            </w:pPr>
            <w:r>
              <w:t xml:space="preserve">10,022</w:t>
            </w:r>
          </w:p>
        </w:tc>
        <w:tc>
          <w:tcPr/>
          <w:p>
            <w:pPr>
              <w:pStyle w:val="Compact"/>
              <w:jc w:val="right"/>
            </w:pPr>
            <w:r>
              <w:t xml:space="preserve">11,258</w:t>
            </w:r>
          </w:p>
        </w:tc>
        <w:tc>
          <w:tcPr/>
          <w:p>
            <w:pPr>
              <w:pStyle w:val="Compact"/>
              <w:jc w:val="right"/>
            </w:pPr>
            <w:r>
              <w:t xml:space="preserve">41,692</w:t>
            </w:r>
          </w:p>
        </w:tc>
      </w:tr>
      <w:tr>
        <w:tc>
          <w:tcPr/>
          <w:p>
            <w:pPr>
              <w:pStyle w:val="Compact"/>
            </w:pPr>
            <w:r>
              <w:t xml:space="preserve">Outpatient covered share 85%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covered share 100%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24,934</w:t>
            </w:r>
          </w:p>
        </w:tc>
        <w:tc>
          <w:tcPr/>
          <w:p>
            <w:pPr>
              <w:pStyle w:val="Compact"/>
              <w:jc w:val="right"/>
            </w:pPr>
            <w:r>
              <w:t xml:space="preserve">31,659</w:t>
            </w:r>
          </w:p>
        </w:tc>
        <w:tc>
          <w:tcPr/>
          <w:p>
            <w:pPr>
              <w:pStyle w:val="Compact"/>
              <w:jc w:val="right"/>
            </w:pPr>
            <w:r>
              <w:t xml:space="preserve">10,022</w:t>
            </w:r>
          </w:p>
        </w:tc>
        <w:tc>
          <w:tcPr/>
          <w:p>
            <w:pPr>
              <w:pStyle w:val="Compact"/>
              <w:jc w:val="right"/>
            </w:pPr>
            <w:r>
              <w:t xml:space="preserve">19,434</w:t>
            </w:r>
          </w:p>
        </w:tc>
        <w:tc>
          <w:tcPr/>
          <w:p>
            <w:pPr>
              <w:pStyle w:val="Compact"/>
              <w:jc w:val="right"/>
            </w:pPr>
            <w:r>
              <w:t xml:space="preserve">61,122</w:t>
            </w:r>
          </w:p>
        </w:tc>
      </w:tr>
      <w:tr>
        <w:tc>
          <w:tcPr/>
          <w:p>
            <w:pPr>
              <w:pStyle w:val="Compact"/>
            </w:pPr>
            <w:r>
              <w:t xml:space="preserve">Drug co-payment 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24,731</w:t>
            </w:r>
          </w:p>
        </w:tc>
        <w:tc>
          <w:tcPr/>
          <w:p>
            <w:pPr>
              <w:pStyle w:val="Compact"/>
              <w:jc w:val="right"/>
            </w:pPr>
            <w:r>
              <w:t xml:space="preserve">31,402</w:t>
            </w:r>
          </w:p>
        </w:tc>
        <w:tc>
          <w:tcPr/>
          <w:p>
            <w:pPr>
              <w:pStyle w:val="Compact"/>
              <w:jc w:val="right"/>
            </w:pPr>
            <w:r>
              <w:t xml:space="preserve">10,022</w:t>
            </w:r>
          </w:p>
        </w:tc>
        <w:tc>
          <w:tcPr/>
          <w:p>
            <w:pPr>
              <w:pStyle w:val="Compact"/>
              <w:jc w:val="right"/>
            </w:pPr>
            <w:r>
              <w:t xml:space="preserve">19,232</w:t>
            </w:r>
          </w:p>
        </w:tc>
        <w:tc>
          <w:tcPr/>
          <w:p>
            <w:pPr>
              <w:pStyle w:val="Compact"/>
              <w:jc w:val="right"/>
            </w:pPr>
            <w:r>
              <w:t xml:space="preserve">60,429</w:t>
            </w:r>
          </w:p>
        </w:tc>
      </w:tr>
      <w:tr>
        <w:tc>
          <w:tcPr/>
          <w:p>
            <w:pPr>
              <w:pStyle w:val="Compact"/>
            </w:pPr>
            <w:r>
              <w:t xml:space="preserve">Drug co-payment 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Drug co-payment 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18,738</w:t>
            </w:r>
          </w:p>
        </w:tc>
        <w:tc>
          <w:tcPr/>
          <w:p>
            <w:pPr>
              <w:pStyle w:val="Compact"/>
              <w:jc w:val="right"/>
            </w:pPr>
            <w:r>
              <w:t xml:space="preserve">23,793</w:t>
            </w:r>
          </w:p>
        </w:tc>
        <w:tc>
          <w:tcPr/>
          <w:p>
            <w:pPr>
              <w:pStyle w:val="Compact"/>
              <w:jc w:val="right"/>
            </w:pPr>
            <w:r>
              <w:t xml:space="preserve">10,022</w:t>
            </w:r>
          </w:p>
        </w:tc>
        <w:tc>
          <w:tcPr/>
          <w:p>
            <w:pPr>
              <w:pStyle w:val="Compact"/>
              <w:jc w:val="right"/>
            </w:pPr>
            <w:r>
              <w:t xml:space="preserve">12,154</w:t>
            </w:r>
          </w:p>
        </w:tc>
        <w:tc>
          <w:tcPr/>
          <w:p>
            <w:pPr>
              <w:pStyle w:val="Compact"/>
              <w:jc w:val="right"/>
            </w:pPr>
            <w:r>
              <w:t xml:space="preserve">43,723</w:t>
            </w:r>
          </w:p>
        </w:tc>
      </w:tr>
    </w:tbl>
    <w:p>
      <w:pPr>
        <w:pStyle w:val="BodyText"/>
      </w:pPr>
      <w:r>
        <w:rPr>
          <w:b/>
          <w:bCs/>
        </w:rPr>
        <w:t xml:space="preserve">Table A12.</w:t>
      </w:r>
      <w:r>
        <w:t xml:space="preserve"> </w:t>
      </w:r>
      <w:r>
        <w:t xml:space="preserve">Wave 4 (2018/19) on the published aggregate, and the multinomial simulation shortcut checked against direct resampling.</w:t>
      </w:r>
    </w:p>
    <w:p>
      <w:pPr>
        <w:pStyle w:val="BodyText"/>
      </w:pPr>
      <w:r>
        <w:rPr>
          <w:i/>
          <w:iCs/>
        </w:rPr>
        <w:t xml:space="preserve">The wave-4 out-of-pocket measure comes from the published aggregate, which annualizes a one-month health recall by about twelve; it is not the wave-5 health-module measure.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Wave</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r>
      <w:tr>
        <w:tc>
          <w:tcPr/>
          <w:p>
            <w:pPr>
              <w:pStyle w:val="Compact"/>
            </w:pPr>
            <w:r>
              <w:t xml:space="preserve">W4 (2018/19)</w:t>
            </w:r>
          </w:p>
        </w:tc>
        <w:tc>
          <w:tcPr/>
          <w:p>
            <w:pPr>
              <w:pStyle w:val="Compact"/>
              <w:jc w:val="right"/>
            </w:pPr>
            <w:r>
              <w:t xml:space="preserve">CHE &gt; 10% (budget share)</w:t>
            </w:r>
          </w:p>
        </w:tc>
        <w:tc>
          <w:tcPr/>
          <w:p>
            <w:pPr>
              <w:pStyle w:val="Compact"/>
              <w:jc w:val="right"/>
            </w:pPr>
            <w:r>
              <w:t xml:space="preserve">14.1</w:t>
            </w:r>
          </w:p>
        </w:tc>
        <w:tc>
          <w:tcPr/>
          <w:p>
            <w:pPr>
              <w:pStyle w:val="Compact"/>
              <w:jc w:val="right"/>
            </w:pPr>
            <w:r>
              <w:t xml:space="preserve">1.0</w:t>
            </w:r>
          </w:p>
        </w:tc>
      </w:tr>
      <w:tr>
        <w:tc>
          <w:tcPr/>
          <w:p>
            <w:pPr>
              <w:pStyle w:val="Compact"/>
            </w:pPr>
            <w:r>
              <w:t xml:space="preserve">W4 (2018/19)</w:t>
            </w:r>
          </w:p>
        </w:tc>
        <w:tc>
          <w:tcPr/>
          <w:p>
            <w:pPr>
              <w:pStyle w:val="Compact"/>
              <w:jc w:val="right"/>
            </w:pPr>
            <w:r>
              <w:t xml:space="preserve">CHE &gt; 25% (budget share)</w:t>
            </w:r>
          </w:p>
        </w:tc>
        <w:tc>
          <w:tcPr/>
          <w:p>
            <w:pPr>
              <w:pStyle w:val="Compact"/>
              <w:jc w:val="right"/>
            </w:pPr>
            <w:r>
              <w:t xml:space="preserve">2.5</w:t>
            </w:r>
          </w:p>
        </w:tc>
        <w:tc>
          <w:tcPr/>
          <w:p>
            <w:pPr>
              <w:pStyle w:val="Compact"/>
              <w:jc w:val="right"/>
            </w:pPr>
            <w:r>
              <w:t xml:space="preserve">0.3</w:t>
            </w:r>
          </w:p>
        </w:tc>
      </w:tr>
      <w:tr>
        <w:tc>
          <w:tcPr/>
          <w:p>
            <w:pPr>
              <w:pStyle w:val="Compact"/>
            </w:pPr>
            <w:r>
              <w:t xml:space="preserve">W4 (2018/19)</w:t>
            </w:r>
          </w:p>
        </w:tc>
        <w:tc>
          <w:tcPr/>
          <w:p>
            <w:pPr>
              <w:pStyle w:val="Compact"/>
              <w:jc w:val="right"/>
            </w:pPr>
            <w:r>
              <w:t xml:space="preserve">CHE, CTP &gt;= 40%</w:t>
            </w:r>
          </w:p>
        </w:tc>
        <w:tc>
          <w:tcPr/>
          <w:p>
            <w:pPr>
              <w:pStyle w:val="Compact"/>
              <w:jc w:val="right"/>
            </w:pPr>
            <w:r>
              <w:t xml:space="preserve">6.7</w:t>
            </w:r>
          </w:p>
        </w:tc>
        <w:tc>
          <w:tcPr/>
          <w:p>
            <w:pPr>
              <w:pStyle w:val="Compact"/>
              <w:jc w:val="right"/>
            </w:pPr>
            <w:r>
              <w:t xml:space="preserve">0.7</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106,551,633.8273</w:t>
            </w:r>
          </w:p>
        </w:tc>
        <w:tc>
          <w:tcPr/>
          <w:p>
            <w:pPr>
              <w:pStyle w:val="Compact"/>
              <w:jc w:val="right"/>
            </w:pPr>
            <w:r>
              <w:t xml:space="preserve">106,998,533.4510</w:t>
            </w:r>
          </w:p>
        </w:tc>
        <w:tc>
          <w:tcPr/>
          <w:p>
            <w:pPr>
              <w:pStyle w:val="Compact"/>
              <w:jc w:val="right"/>
            </w:pPr>
            <w:r>
              <w:t xml:space="preserve">-0.0042</w:t>
            </w:r>
          </w:p>
        </w:tc>
      </w:tr>
      <w:tr>
        <w:tc>
          <w:tcPr/>
          <w:p>
            <w:pPr>
              <w:pStyle w:val="Compact"/>
            </w:pPr>
            <w:r>
              <w:t xml:space="preserve">sd</w:t>
            </w:r>
          </w:p>
        </w:tc>
        <w:tc>
          <w:tcPr/>
          <w:p>
            <w:pPr>
              <w:pStyle w:val="Compact"/>
              <w:jc w:val="right"/>
            </w:pPr>
            <w:r>
              <w:t xml:space="preserve">8,756,655.2576</w:t>
            </w:r>
          </w:p>
        </w:tc>
        <w:tc>
          <w:tcPr/>
          <w:p>
            <w:pPr>
              <w:pStyle w:val="Compact"/>
              <w:jc w:val="right"/>
            </w:pPr>
            <w:r>
              <w:t xml:space="preserve">8,380,500.3197</w:t>
            </w:r>
          </w:p>
        </w:tc>
        <w:tc>
          <w:tcPr/>
          <w:p>
            <w:pPr>
              <w:pStyle w:val="Compact"/>
              <w:jc w:val="right"/>
            </w:pPr>
            <w:r>
              <w:t xml:space="preserve">0.0449</w:t>
            </w:r>
          </w:p>
        </w:tc>
      </w:tr>
      <w:tr>
        <w:tc>
          <w:tcPr/>
          <w:p>
            <w:pPr>
              <w:pStyle w:val="Compact"/>
            </w:pPr>
            <w:r>
              <w:t xml:space="preserve">p95</w:t>
            </w:r>
          </w:p>
        </w:tc>
        <w:tc>
          <w:tcPr/>
          <w:p>
            <w:pPr>
              <w:pStyle w:val="Compact"/>
              <w:jc w:val="right"/>
            </w:pPr>
            <w:r>
              <w:t xml:space="preserve">121,812,991.1793</w:t>
            </w:r>
          </w:p>
        </w:tc>
        <w:tc>
          <w:tcPr/>
          <w:p>
            <w:pPr>
              <w:pStyle w:val="Compact"/>
              <w:jc w:val="right"/>
            </w:pPr>
            <w:r>
              <w:t xml:space="preserve">121,464,785.7158</w:t>
            </w:r>
          </w:p>
        </w:tc>
        <w:tc>
          <w:tcPr/>
          <w:p>
            <w:pPr>
              <w:pStyle w:val="Compact"/>
              <w:jc w:val="right"/>
            </w:pPr>
            <w:r>
              <w:t xml:space="preserve">0.0029</w:t>
            </w:r>
          </w:p>
        </w:tc>
      </w:tr>
      <w:tr>
        <w:tc>
          <w:tcPr/>
          <w:p>
            <w:pPr>
              <w:pStyle w:val="Compact"/>
            </w:pPr>
            <w:r>
              <w:t xml:space="preserve">p99</w:t>
            </w:r>
          </w:p>
        </w:tc>
        <w:tc>
          <w:tcPr/>
          <w:p>
            <w:pPr>
              <w:pStyle w:val="Compact"/>
              <w:jc w:val="right"/>
            </w:pPr>
            <w:r>
              <w:t xml:space="preserve">128,191,863.5854</w:t>
            </w:r>
          </w:p>
        </w:tc>
        <w:tc>
          <w:tcPr/>
          <w:p>
            <w:pPr>
              <w:pStyle w:val="Compact"/>
              <w:jc w:val="right"/>
            </w:pPr>
            <w:r>
              <w:t xml:space="preserve">127,976,142.7164</w:t>
            </w:r>
          </w:p>
        </w:tc>
        <w:tc>
          <w:tcPr/>
          <w:p>
            <w:pPr>
              <w:pStyle w:val="Compact"/>
              <w:jc w:val="right"/>
            </w:pPr>
            <w:r>
              <w:t xml:space="preserve">0.0017</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2026-09-21T20:27:55Z</dcterms:created>
  <dcterms:modified xsi:type="dcterms:W3CDTF">2026-09-21T20:27:55Z</dcterms:modified>
</cp:coreProperties>
</file>

<file path=docProps/custom.xml><?xml version="1.0" encoding="utf-8"?>
<Properties xmlns="http://schemas.openxmlformats.org/officeDocument/2006/custom-properties" xmlns:vt="http://schemas.openxmlformats.org/officeDocument/2006/docPropsVTypes"/>
</file>