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2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~7,100 excluding abstract, tables and references.</w:t>
      </w:r>
      <w:r>
        <w:t xml:space="preserve"> </w:t>
      </w:r>
      <w:r>
        <w:rPr>
          <w:b/>
          <w:bCs/>
        </w:rPr>
        <w:t xml:space="preserve">Figures.</w:t>
      </w:r>
      <w:r>
        <w:t xml:space="preserve"> </w:t>
      </w:r>
      <w:r>
        <w:t xml:space="preserve">5.</w:t>
      </w:r>
      <w:r>
        <w:t xml:space="preserve"> </w:t>
      </w:r>
      <w:r>
        <w:rPr>
          <w:b/>
          <w:bCs/>
        </w:rPr>
        <w:t xml:space="preserve">Tables.</w:t>
      </w:r>
      <w:r>
        <w:t xml:space="preserve"> </w:t>
      </w:r>
      <w:r>
        <w:t xml:space="preserve">6 in text, 2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Financial protection against health-cost shocks is usually compared across countries using average catastrophic-spending rates. An average describes how many households cross a line. It says nothing about how far past it the worst-affected go, and it is the far tail that ruins people. Whether a high-income system with near-universal coverage and a low-income system with almost none differ in the tail as much as they differ on average is, as far as we can establish, untested.</w:t>
      </w:r>
    </w:p>
    <w:p>
      <w:pPr>
        <w:pStyle w:val="BodyText"/>
      </w:pPr>
      <w:r>
        <w:rPr>
          <w:b/>
          <w:bCs/>
        </w:rPr>
        <w:t xml:space="preserve">Methods.</w:t>
      </w:r>
      <w:r>
        <w:t xml:space="preserve"> </w:t>
      </w:r>
      <w:r>
        <w:t xml:space="preserve">We build a harmonised actuarial framework and apply it to the Medical Expenditure Panel Survey (2019–2024 pooled, 63,799 family-years, 2024 dollars) and the Nigeria General Household Survey-Panel (2023/24, 4,685 households). Catastrophic spending is measured on identical budget-share and capacity-to-pay definitions. We then apply the measures an actuary would use on a loss distribution: Value-at-Risk and Conditional Value-at-Risk of the out-of-pocket burden, and a generalised Pareto fit to the exceedances over a high threshold, with a weighted likelihood and confidence intervals from a bootstrap over primary sampling units within strata.</w:t>
      </w:r>
    </w:p>
    <w:p>
      <w:pPr>
        <w:pStyle w:val="BodyText"/>
      </w:pPr>
      <w:r>
        <w:rPr>
          <w:b/>
          <w:bCs/>
        </w:rPr>
        <w:t xml:space="preserve">Results.</w:t>
      </w:r>
      <w:r>
        <w:t xml:space="preserve"> </w:t>
      </w:r>
      <w:r>
        <w:t xml:space="preserve">On averages the two countries are far apart and Nigeria is worse: 17.2% of Nigerian households exceed a 10% burden against 7.2% of US families, and 39.5% exceed the 40% capacity-to-pay threshold against 12.6%. In the tail the ordering reverses. The American burden distribution is heavy-tailed and the Nigerian one is not — a generalised Pareto shape of ξ = +0.672 (95% CI 0.625 to 0.718) against ξ = +0.088 (−0.063 to 0.205), with no overlap between any US and any Nigerian group and stability across every threshold tested. Expected shortfall at the 95th percentile is 42.9% of resources in the United States against 38.1% in Nigeria, and 124.7% of annual income among poor and near-poor US families. At the 99th percentile the two distributions have essentially met (42.1% against 48.2%). Poor and near-poor US families overtake Nigeria’s informal sector at the 85th percentile of their own distribution; 37.0% of all US families, and 50.4% of those with an elderly member, already carry a burden heavier than the median Nigerian informal household.</w:t>
      </w:r>
    </w:p>
    <w:p>
      <w:pPr>
        <w:pStyle w:val="BodyText"/>
      </w:pPr>
      <w:r>
        <w:rPr>
          <w:b/>
          <w:bCs/>
        </w:rPr>
        <w:t xml:space="preserve">Conclusions.</w:t>
      </w:r>
      <w:r>
        <w:t xml:space="preserve"> </w:t>
      </w:r>
      <w:r>
        <w:t xml:space="preserve">The difference between the two systems is a difference in distributional shape, not only in level. Nigeria’s burden is high in the middle and bounded above, because a household cannot spend money it does not have and forgoes care instead. America’s is low in the middle and unbounded, because credit and medical debt allow a bill to exceed annual income. Average catastrophic-spending rates are the wrong summary statistic for this comparison and, we argue, for financial-protection monitoring generally. Coverage in the United States compresses the middle of the burden distribution without truncating its tail, which is precisely what insurance is supposed to do and precisely what a deductible-heavy benefit design fails to do.</w:t>
      </w:r>
    </w:p>
    <w:p>
      <w:pPr>
        <w:pStyle w:val="BodyText"/>
      </w:pPr>
      <w:r>
        <w:rPr>
          <w:b/>
          <w:bCs/>
        </w:rPr>
        <w:t xml:space="preserve">Keywords.</w:t>
      </w:r>
      <w:r>
        <w:t xml:space="preserve"> </w:t>
      </w:r>
      <w:r>
        <w:t xml:space="preserve">financial protection; underinsurance; out-of-pocket spending; tail risk; conditional value-at-risk;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 household in Lagos and a household in Ohio face the same underlying problem: illness arrives without warning and has to be paid for. The systems around them could hardly be more different. Nigeria covers about 1% of its population with health insurance and finances roughly seven naira in every ten of health spending out of household pockets. The United States insures roughly nine families in ten for a full year — 89.8% in the data used here — and spends more per head on health than any other country. The conventional summary of what this means for households is the catastrophic-health-expenditure rate, and on that summary the two countries are far apart.</w:t>
      </w:r>
    </w:p>
    <w:p>
      <w:pPr>
        <w:pStyle w:val="BodyText"/>
      </w:pPr>
      <w:r>
        <w:t xml:space="preserve">The summary is an average, and averages are a poor description of a distribution whose interesting part is its tail. A catastrophic-spending rate counts the households that cross a line. It is silent on how far past the line the worst-affected go, which is the question that matters for whether a household recovers or is ruined. It is also silent on the shape of the tail, which is what determines whether the next observation could be twice as bad as the worst one seen so far or ten times.</w:t>
      </w:r>
    </w:p>
    <w:p>
      <w:pPr>
        <w:pStyle w:val="BodyText"/>
      </w:pPr>
      <w:r>
        <w:t xml:space="preserve">Actuaries have measures for exactly this. Value-at-Risk locates a high quantile of a loss distribution; Conditional Value-at-Risk, or expected shortfall, gives the mean loss conditional on being beyond it; and the shape parameter of a generalised Pareto distribution fitted to the exceedances over a high threshold summarises how heavy the tail is, with values above zero indicating a power-law tail, above one half an infinite variance and above one an infinite mean. These are the standard tools of insurance and banking supervision. They are almost absent from the financial-protection literature, which has instead accumulated a large stock of headcount statistics.</w:t>
      </w:r>
    </w:p>
    <w:p>
      <w:pPr>
        <w:pStyle w:val="BodyText"/>
      </w:pPr>
      <w:r>
        <w:t xml:space="preserve">This paper brings them to bear. Using the Medical Expenditure Panel Survey and the Nigeria General Household Survey-Panel on one harmonised basis, we ask three questions. How do the two countries compare on the conventional measures? How do they compare on tail measures? And at what point in the American distribution does the burden a family carries reach the burden a typical Nigerian informal household carries?</w:t>
      </w:r>
    </w:p>
    <w:p>
      <w:pPr>
        <w:pStyle w:val="BodyText"/>
      </w:pPr>
      <w:r>
        <w:t xml:space="preserve">The answers are not what the averages predict. Nigeria is worse in the middle by a factor of roughly two and a half. The United States is worse in the tail, and by a wide margin: the American burden distribution is heavy-tailed with a shape parameter near 0.67, while the Nigerian one is indistinguishable from exponential. Among poor and near-poor American families the mean burden of the worst-affected five percent exceeds their entire annual income.</w:t>
      </w:r>
    </w:p>
    <w:p>
      <w:pPr>
        <w:pStyle w:val="BodyText"/>
      </w:pPr>
      <w:r>
        <w:t xml:space="preserve">The mechanism behind that reversal is, we argue, the more important finding than the reversal itself. A Nigerian household cannot spend money it does not have. Faced with a bill beyond its means it forgoes the care, and the observed burden is bounded by what could be raised. An American household facing the same situation can be billed, and the bill can be financed with credit, so the observed burden is bounded by what can be borrowed rather than by what can be paid. The two distributions differ in shape because the two systems fail in different ways, and only one of those failures is visible in an out-of-pocket statistic.</w:t>
      </w:r>
    </w:p>
    <w:p>
      <w:pPr>
        <w:pStyle w:val="BodyText"/>
      </w:pPr>
      <w:r>
        <w:t xml:space="preserve">We make three contributions. First, a harmonised framework that states its compromises explicitly rather than forcing a false equivalence between an income denominator and a consumption one. Second, an application of extreme-value tail estimation to household health-cost burden in a cross-country comparison — we have not found a prior one — with a weighted likelihood and design-consistent uncertainty. Third, a</w:t>
      </w:r>
      <w:r>
        <w:t xml:space="preserve"> </w:t>
      </w:r>
      <w:r>
        <w:t xml:space="preserve">“parity”</w:t>
      </w:r>
      <w:r>
        <w:t xml:space="preserve"> </w:t>
      </w:r>
      <w:r>
        <w:t xml:space="preserve">analysis that locates where in the American distribution the burden reaches Nigerian levels, which turns an abstract comparison into a statement about how many families are already there.</w:t>
      </w:r>
    </w:p>
    <w:bookmarkEnd w:id="10"/>
    <w:bookmarkStart w:id="14" w:name="background-and-related-literature"/>
    <w:p>
      <w:pPr>
        <w:pStyle w:val="Heading2"/>
      </w:pPr>
      <w:r>
        <w:t xml:space="preserve">2. Background and related literature</w:t>
      </w:r>
    </w:p>
    <w:bookmarkStart w:id="11" w:name="measuring-financial-protection"/>
    <w:p>
      <w:pPr>
        <w:pStyle w:val="Heading3"/>
      </w:pPr>
      <w:r>
        <w:t xml:space="preserve">2.1 Measuring financial protection</w:t>
      </w:r>
    </w:p>
    <w:p>
      <w:pPr>
        <w:pStyle w:val="FirstParagraph"/>
      </w:pPr>
      <w:r>
        <w:t xml:space="preserve">The measurement tradition runs from Xu et al.’s capacity-to-pay approach and Wagstaff and van Doorslaer’s incidence-and-intensity decomposition through to the SDG 3.8.2 indicator, which counts households spending more than 10% or 25% of consumption on health. Rahman, Gasbarro and Alam’s (2022) scoping review of financial risk protection in low- and middle-income countries maps the resulting literature and its methodological variety. Almost all of it reports incidence, sometimes with an overshoot measure alongside; almost none of it characterises the tail.</w:t>
      </w:r>
    </w:p>
    <w:p>
      <w:pPr>
        <w:pStyle w:val="BodyText"/>
      </w:pPr>
      <w:r>
        <w:t xml:space="preserve">The gap matters because incidence and tail severity need not move together, and because the policy responses differ. A high headcount with a bounded tail is a problem of routine affordability, addressed by lowering the price of ordinary care. A low headcount with a heavy tail is a problem of catastrophic exposure, addressed by capping what a household can be asked to pay. A monitoring framework that reports only the headcount cannot distinguish them.</w:t>
      </w:r>
    </w:p>
    <w:bookmarkEnd w:id="11"/>
    <w:bookmarkStart w:id="12" w:name="X844d67e855983b769975c475baa897a9e030df6"/>
    <w:p>
      <w:pPr>
        <w:pStyle w:val="Heading3"/>
      </w:pPr>
      <w:r>
        <w:t xml:space="preserve">2.2 Out-of-pocket burden in the United States</w:t>
      </w:r>
    </w:p>
    <w:p>
      <w:pPr>
        <w:pStyle w:val="FirstParagraph"/>
      </w:pPr>
      <w:r>
        <w:t xml:space="preserve">The American literature has documented high out-of-pocket burden without generally framing it as a tail problem. Baird (2016a) traces trends in the probability of high out-of-pocket expenses. Baird (2016b) is the closest antecedent to this paper’s design, comparing the United States with Canada on harmonised 2010 survey data and finding the risk of large medical expenses 1.5 to 4 times higher in the United States depending on the group and threshold, with the United States comparing least favourably for poorer citizens. That last point anticipates our own result, in a comparison between two high-income systems rather than across the income spectrum, and without tail estimation. Bernard, Selden and Fang (2023) examine the joint distribution of high out-of-pocket burdens, medical debt and financial barriers to care — the three do not have to coincide, and the distinction matters here: a household can be spared a high measured burden precisely because it went without care, or can carry debt that never appears as spending in a survey year.</w:t>
      </w:r>
    </w:p>
    <w:p>
      <w:pPr>
        <w:pStyle w:val="BodyText"/>
      </w:pPr>
      <w:r>
        <w:t xml:space="preserve">Condition-specific work reports substantial hardship among the insured. Caraballo et al. (2020) document financial hardship from medical bills among non-elderly adults with diabetes; Richard, Walker and Alexandre (2018) do the same for households with chronic conditions. Fahle, McGarry and Skinner (2016) come closest to the framing adopted here. Studying Americans aged 55 and over in the Health and Retirement Study, they report a median out-of-pocket outlay of $6,328 in the last year of life against more than $62,040 for the top 5% — a tenfold gap between the middle and the tail of the same distribution — and find that the top 10% of spenders account for 42% of all spending. They stop short of estimating the tail’s shape, which is what an extreme-value approach adds.</w:t>
      </w:r>
    </w:p>
    <w:p>
      <w:pPr>
        <w:pStyle w:val="BodyText"/>
      </w:pPr>
      <w:r>
        <w:t xml:space="preserve">The Commonwealth Fund’s biennial survey supplies the standard underinsurance definition, which flags insured adults whose out-of-pocket spending or deductible is large relative to income. We adapt it, with one criterion omitted for data reasons, and use it as an outcome rather than as a grouping variable, for reasons set out in Section 4.</w:t>
      </w:r>
    </w:p>
    <w:bookmarkEnd w:id="12"/>
    <w:bookmarkStart w:id="13" w:name="tail-risk"/>
    <w:p>
      <w:pPr>
        <w:pStyle w:val="Heading3"/>
      </w:pPr>
      <w:r>
        <w:t xml:space="preserve">2.3 Tail risk</w:t>
      </w:r>
    </w:p>
    <w:p>
      <w:pPr>
        <w:pStyle w:val="FirstParagraph"/>
      </w:pPr>
      <w:r>
        <w:t xml:space="preserve">Extreme-value methods are standard in insurance and finance and rare in health economics. The generalised Pareto distribution arises as the limiting distribution of exceedances over a high threshold and is the workhorse of tail estimation; the shape parameter is the object of interest and is well known to be sensitive to the choice of threshold, which is why threshold sensitivity is reported here rather than a single fit. Conditional Value-at-Risk is the coherent risk measure that Value-at-Risk is not, and is the natural summary of</w:t>
      </w:r>
      <w:r>
        <w:t xml:space="preserve"> </w:t>
      </w:r>
      <w:r>
        <w:t xml:space="preserve">“how bad is it when it is bad”</w:t>
      </w:r>
      <w:r>
        <w:t xml:space="preserve">.</w:t>
      </w:r>
    </w:p>
    <w:p>
      <w:pPr>
        <w:pStyle w:val="BodyText"/>
      </w:pPr>
      <w:r>
        <w:t xml:space="preserve">Applying these to survey data requires two adaptations that the standard treatments do not supply, and Section 4 sets them out: a weighted likelihood, so that the fit is population-referenced rather than sample-referenced, and a design-consistent bootstrap, so that clustering does not flatter the intervals.</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Medical Expenditure Panel Survey Household Component Full-Year Consolidated files for 2019 through 2024, the most recent six releases. MEPS is a person file with family identifiers; we aggregate to the annual family, which is the unit that absorbs a medical bill. Pooling six years is necessary to give the tail enough exceedances to fit and requires the HC-036 pooled linkage file, which supplies a variance structure common to all years; every person matched. Weights are divided by the number of years. All dollar amounts are deflated to 2024 using the World Bank’s CPI series for the United States.</w:t>
      </w:r>
    </w:p>
    <w:p>
      <w:pPr>
        <w:pStyle w:val="BodyText"/>
      </w:pPr>
      <w:r>
        <w:t xml:space="preserve">The pooled file contains 145,143 person-years in 69,946 family-years. MEPS assigns a zero family weight to units out of scope for part of the year; those 6,147 family-years are dropped, leaving</w:t>
      </w:r>
      <w:r>
        <w:t xml:space="preserve"> </w:t>
      </w:r>
      <w:r>
        <w:rPr>
          <w:b/>
          <w:bCs/>
        </w:rPr>
        <w:t xml:space="preserve">63,799</w:t>
      </w:r>
      <w:r>
        <w:t xml:space="preserve">, weighted to 141.9 million families and 323.8 million people a year. The person weight grosses to about 334 million, so the family-weighted population is about 3% smaller, which is the population living in families in scope for a full year.</w:t>
      </w:r>
    </w:p>
    <w:p>
      <w:pPr>
        <w:pStyle w:val="BodyText"/>
      </w:pPr>
      <w:r>
        <w:t xml:space="preserve">Out-of-pocket spending is</w:t>
      </w:r>
      <w:r>
        <w:t xml:space="preserve"> </w:t>
      </w:r>
      <w:r>
        <w:rPr>
          <w:rStyle w:val="VerbatimChar"/>
        </w:rPr>
        <w:t xml:space="preserve">TOTSLF</w:t>
      </w:r>
      <w:r>
        <w:t xml:space="preserve">, which is what the family paid itself and excludes insurance premiums. Resources are family income. Burden is undefined for families with income below $1,000 — 3.7% of the file, flagged rather than silently dropped.</w:t>
      </w:r>
    </w:p>
    <w:p>
      <w:pPr>
        <w:pStyle w:val="BodyText"/>
      </w:pPr>
      <w:r>
        <w:rPr>
          <w:b/>
          <w:bCs/>
        </w:rPr>
        <w:t xml:space="preserve">Nigeria.</w:t>
      </w:r>
      <w:r>
        <w:t xml:space="preserve"> </w:t>
      </w:r>
      <w:r>
        <w:t xml:space="preserve">The output of the companion paper’s pipeline on General Household Survey-Panel wave 5 (2023/24): 4,685 households with out-of-pocket spending built from the health module, a reconstructed consumption aggregate, and the full survey design. Naira are in constant August-2023 prices.</w:t>
      </w:r>
    </w:p>
    <w:p>
      <w:pPr>
        <w:pStyle w:val="BodyText"/>
      </w:pPr>
      <w:r>
        <w:rPr>
          <w:b/>
          <w:bCs/>
        </w:rPr>
        <w:t xml:space="preserve">Validation.</w:t>
      </w:r>
      <w:r>
        <w:t xml:space="preserve"> </w:t>
      </w:r>
      <w:r>
        <w:t xml:space="preserve">The US build reconstructs the federal poverty threshold from family income and the published income-to-poverty ratio, which tests the deflation and the income variable at once (Table A1). Derived medians of $16,319, $21,004, $25,248 and $31,812 for families of one to four compare with published 2024 guidelines of $15,060, $20,440, $25,820 and $31,200.</w:t>
      </w:r>
    </w:p>
    <w:bookmarkEnd w:id="15"/>
    <w:bookmarkStart w:id="20" w:name="methods"/>
    <w:p>
      <w:pPr>
        <w:pStyle w:val="Heading2"/>
      </w:pPr>
      <w:r>
        <w:t xml:space="preserve">4. Methods</w:t>
      </w:r>
    </w:p>
    <w:bookmarkStart w:id="16" w:name="harmonisation-and-what-it-cannot-fix"/>
    <w:p>
      <w:pPr>
        <w:pStyle w:val="Heading3"/>
      </w:pPr>
      <w:r>
        <w:t xml:space="preserve">4.1 Harmonisation, and what it cannot fix</w:t>
      </w:r>
    </w:p>
    <w:p>
      <w:pPr>
        <w:pStyle w:val="FirstParagraph"/>
      </w:pPr>
      <w:r>
        <w:t xml:space="preserve">The two surveys do not measure the same things. Three differences matter and none of them can be assumed away.</w:t>
      </w:r>
    </w:p>
    <w:p>
      <w:pPr>
        <w:pStyle w:val="BodyText"/>
      </w:pPr>
      <w:r>
        <w:rPr>
          <w:b/>
          <w:bCs/>
        </w:rPr>
        <w:t xml:space="preserve">Resources.</w:t>
      </w:r>
      <w:r>
        <w:t xml:space="preserve"> </w:t>
      </w:r>
      <w:r>
        <w:t xml:space="preserve">MEPS records income and no consumption; the GHS-Panel records consumption and unreliable income. There is no transformation that makes these the same variable. Each country therefore uses its own standard resource measure — WHO guidance accepts either — and the comparison is explicitly of</w:t>
      </w:r>
      <w:r>
        <w:t xml:space="preserve"> </w:t>
      </w:r>
      <w:r>
        <w:rPr>
          <w:i/>
          <w:iCs/>
        </w:rPr>
        <w:t xml:space="preserve">relative</w:t>
      </w:r>
      <w:r>
        <w:t xml:space="preserve"> </w:t>
      </w:r>
      <w:r>
        <w:t xml:space="preserve">burden. This is the paper’s central limitation and it is stated wherever a comparison is made. Income is more volatile than consumption, so a burden measured against income will show more dispersion than one measured against consumption for reasons that have nothing to do with health. This works against our headline finding rather than for it: it inflates the Nigerian denominator’s stability, and the American tail is heavier anyway.</w:t>
      </w:r>
    </w:p>
    <w:p>
      <w:pPr>
        <w:pStyle w:val="BodyText"/>
      </w:pPr>
      <w:r>
        <w:rPr>
          <w:b/>
          <w:bCs/>
        </w:rPr>
        <w:t xml:space="preserve">Subsistence floor.</w:t>
      </w:r>
      <w:r>
        <w:t xml:space="preserve"> </w:t>
      </w:r>
      <w:r>
        <w:t xml:space="preserve">The capacity-to-pay measure divides by resources net of a subsistence floor. Xu et al. derive the floor from food shares, which MEPS cannot support. The harmonised floor is therefore the national poverty threshold in both countries. Nigeria’s food-share floor is retained as a country-specific check.</w:t>
      </w:r>
    </w:p>
    <w:p>
      <w:pPr>
        <w:pStyle w:val="BodyText"/>
      </w:pPr>
      <w:r>
        <w:t xml:space="preserve">That choice creates a problem which is itself a finding. Half of Nigerian households — 49.9% — sit at or below the national poverty line, so their capacity to pay is zero or negative and the ratio is undefined. Dropping them would drop the poorest half of the country and would be a far worse error than any handling rule. A household below the subsistence floor that spends anything at all on health is, by the logic the measure exists to capture, sacrificing subsistence to do it; such households are counted as catastrophic whenever out-of-pocket spending is positive. The share in that position is reported in every table, because the contrast — 49.9% in Nigeria against 12.7% in the United States — is one of the sharper findings in the paper.</w:t>
      </w:r>
    </w:p>
    <w:p>
      <w:pPr>
        <w:pStyle w:val="BodyText"/>
      </w:pPr>
      <w:r>
        <w:rPr>
          <w:b/>
          <w:bCs/>
        </w:rPr>
        <w:t xml:space="preserve">Underinsurance is an outcome, not a group.</w:t>
      </w:r>
      <w:r>
        <w:t xml:space="preserve"> </w:t>
      </w:r>
      <w:r>
        <w:t xml:space="preserve">The Commonwealth Fund definition is itself a burden measure: insured all year, and out-of-pocket spending above 10% of income, or above 5% for families under twice the poverty line. Stratifying burden by it and then comparing burden across the strata is circular. It produces the giveaway result that 0% of the</w:t>
      </w:r>
      <w:r>
        <w:t xml:space="preserve"> </w:t>
      </w:r>
      <w:r>
        <w:t xml:space="preserve">“adequately insured”</w:t>
      </w:r>
      <w:r>
        <w:t xml:space="preserve"> </w:t>
      </w:r>
      <w:r>
        <w:t xml:space="preserve">and 72% of the</w:t>
      </w:r>
      <w:r>
        <w:t xml:space="preserve"> </w:t>
      </w:r>
      <w:r>
        <w:t xml:space="preserve">“underinsured”</w:t>
      </w:r>
      <w:r>
        <w:t xml:space="preserve"> </w:t>
      </w:r>
      <w:r>
        <w:t xml:space="preserve">exceed a 10% burden, which is arithmetic, not evidence. Comparison groups in this paper are insurance status, which is measured independently of what anyone spent. Underinsurance is estimated and reported as an outcome. We omit the deductible criterion, which MEPS cannot support well, so our rate is a lower bound.</w:t>
      </w:r>
    </w:p>
    <w:bookmarkEnd w:id="16"/>
    <w:bookmarkStart w:id="17" w:name="burden-and-catastrophic-spending"/>
    <w:p>
      <w:pPr>
        <w:pStyle w:val="Heading3"/>
      </w:pPr>
      <w:r>
        <w:t xml:space="preserve">4.2 Burden and catastrophic spending</w:t>
      </w:r>
    </w:p>
    <w:p>
      <w:pPr>
        <w:pStyle w:val="FirstParagraph"/>
      </w:pPr>
      <w:r>
        <w:t xml:space="preserve">For household or family</w:t>
      </w:r>
      <w:r>
        <w:t xml:space="preserve"> </w:t>
      </w:r>
      <w:r>
        <w:rPr>
          <w:i/>
          <w:iCs/>
        </w:rPr>
        <w:t xml:space="preserve">h</w:t>
      </w:r>
      <w:r>
        <w:t xml:space="preserve">, burden is</w:t>
      </w:r>
      <w:r>
        <w:t xml:space="preserve"> </w:t>
      </w:r>
      <w:r>
        <w:rPr>
          <w:i/>
          <w:iCs/>
        </w:rPr>
        <w:t xml:space="preserve">b_h</w:t>
      </w:r>
      <w:r>
        <w:t xml:space="preserve"> </w:t>
      </w:r>
      <w:r>
        <w:t xml:space="preserve">= OOP*_h* /</w:t>
      </w:r>
      <w:r>
        <w:t xml:space="preserve"> </w:t>
      </w:r>
      <w:r>
        <w:rPr>
          <w:i/>
          <w:iCs/>
        </w:rPr>
        <w:t xml:space="preserve">R_h</w:t>
      </w:r>
      <w:r>
        <w:t xml:space="preserve">, where</w:t>
      </w:r>
      <w:r>
        <w:t xml:space="preserve"> </w:t>
      </w:r>
      <w:r>
        <w:rPr>
          <w:i/>
          <w:iCs/>
        </w:rPr>
        <w:t xml:space="preserve">R_h</w:t>
      </w:r>
      <w:r>
        <w:t xml:space="preserve"> </w:t>
      </w:r>
      <w:r>
        <w:t xml:space="preserve">is income in the United States and consumption in Nigeria. Catastrophic spending is flagged at</w:t>
      </w:r>
      <w:r>
        <w:t xml:space="preserve"> </w:t>
      </w:r>
      <w:r>
        <w:rPr>
          <w:i/>
          <w:iCs/>
        </w:rPr>
        <w:t xml:space="preserve">b_h</w:t>
      </w:r>
      <w:r>
        <w:t xml:space="preserve"> </w:t>
      </w:r>
      <w:r>
        <w:t xml:space="preserve">&gt; τ for τ ∈ {10%, 25%, 40%}, and on the capacity-to-pay definition at OOP*_h* / (</w:t>
      </w:r>
      <w:r>
        <w:rPr>
          <w:i/>
          <w:iCs/>
        </w:rPr>
        <w:t xml:space="preserve">R_h</w:t>
      </w:r>
      <w:r>
        <w:t xml:space="preserve"> </w:t>
      </w:r>
      <w:r>
        <w:t xml:space="preserve">−</w:t>
      </w:r>
      <w:r>
        <w:t xml:space="preserve"> </w:t>
      </w:r>
      <w:r>
        <w:rPr>
          <w:i/>
          <w:iCs/>
        </w:rPr>
        <w:t xml:space="preserve">F_h</w:t>
      </w:r>
      <w:r>
        <w:t xml:space="preserve">) ≥ 40%, where</w:t>
      </w:r>
      <w:r>
        <w:t xml:space="preserve"> </w:t>
      </w:r>
      <w:r>
        <w:rPr>
          <w:i/>
          <w:iCs/>
        </w:rPr>
        <w:t xml:space="preserve">F_h</w:t>
      </w:r>
      <w:r>
        <w:t xml:space="preserve"> </w:t>
      </w:r>
      <w:r>
        <w:t xml:space="preserve">is the poverty threshold for the household’s size, with the below-floor rule above.</w:t>
      </w:r>
    </w:p>
    <w:p>
      <w:pPr>
        <w:pStyle w:val="BodyText"/>
      </w:pPr>
      <w:r>
        <w:t xml:space="preserve">All estimates are survey-weighted with Taylor-linearised standard errors for a stratified single-stage cluster design, singleton strata centred on the grand mean. The implementation is the module written for the companion paper and reused here unchanged.</w:t>
      </w:r>
    </w:p>
    <w:bookmarkEnd w:id="17"/>
    <w:bookmarkStart w:id="18" w:name="tail-measures"/>
    <w:p>
      <w:pPr>
        <w:pStyle w:val="Heading3"/>
      </w:pPr>
      <w:r>
        <w:t xml:space="preserve">4.3 Tail measures</w:t>
      </w:r>
    </w:p>
    <w:p>
      <w:pPr>
        <w:pStyle w:val="FirstParagraph"/>
      </w:pPr>
      <w:r>
        <w:t xml:space="preserve">Value-at-Risk at level</w:t>
      </w:r>
      <w:r>
        <w:t xml:space="preserve"> </w:t>
      </w:r>
      <w:r>
        <w:rPr>
          <w:i/>
          <w:iCs/>
        </w:rPr>
        <w:t xml:space="preserve">q</w:t>
      </w:r>
      <w:r>
        <w:t xml:space="preserve"> </w:t>
      </w:r>
      <w:r>
        <w:t xml:space="preserve">is the weighted</w:t>
      </w:r>
      <w:r>
        <w:t xml:space="preserve"> </w:t>
      </w:r>
      <w:r>
        <w:rPr>
          <w:i/>
          <w:iCs/>
        </w:rPr>
        <w:t xml:space="preserve">q</w:t>
      </w:r>
      <w:r>
        <w:t xml:space="preserve">-th quantile of the burden distribution. Conditional Value-at-Risk is the weighted mean of burdens at or above it — expected shortfall, the mean burden of the worst-affected 100(1−</w:t>
      </w:r>
      <w:r>
        <w:rPr>
          <w:i/>
          <w:iCs/>
        </w:rPr>
        <w:t xml:space="preserve">q</w:t>
      </w:r>
      <w:r>
        <w:t xml:space="preserve">)%.</w:t>
      </w:r>
    </w:p>
    <w:p>
      <w:pPr>
        <w:pStyle w:val="BodyText"/>
      </w:pPr>
      <w:r>
        <w:t xml:space="preserve">For the tail shape we fit a generalised Pareto distribution to the exceedances over a threshold</w:t>
      </w:r>
      <w:r>
        <w:t xml:space="preserve"> </w:t>
      </w:r>
      <w:r>
        <w:rPr>
          <w:i/>
          <w:iCs/>
        </w:rPr>
        <w:t xml:space="preserve">u</w:t>
      </w:r>
      <w:r>
        <w:t xml:space="preserve">, taken as the 90th percentile of the burden distribution, with location fixed at zero and shape ξ and scale σ estimated by maximum likelihood. Two adaptations are needed for survey data.</w:t>
      </w:r>
    </w:p>
    <w:p>
      <w:pPr>
        <w:pStyle w:val="BodyText"/>
      </w:pPr>
      <w:r>
        <w:rPr>
          <w:i/>
          <w:iCs/>
        </w:rPr>
        <w:t xml:space="preserve">The likelihood is weighted.</w:t>
      </w:r>
      <w:r>
        <w:t xml:space="preserve"> </w:t>
      </w:r>
      <w:r>
        <w:t xml:space="preserve">An ordinary maximum-likelihood fit treats a household representing 40,000 others identically to one representing 400. We maximise Σ *w̃_i* log</w:t>
      </w:r>
      <w:r>
        <w:t xml:space="preserve"> </w:t>
      </w:r>
      <w:r>
        <w:rPr>
          <w:i/>
          <w:iCs/>
        </w:rPr>
        <w:t xml:space="preserve">f</w:t>
      </w:r>
      <w:r>
        <w:t xml:space="preserve">(</w:t>
      </w:r>
      <w:r>
        <w:rPr>
          <w:i/>
          <w:iCs/>
        </w:rPr>
        <w:t xml:space="preserve">x_i</w:t>
      </w:r>
      <w:r>
        <w:t xml:space="preserve">; ξ, σ) with</w:t>
      </w:r>
      <w:r>
        <w:t xml:space="preserve"> </w:t>
      </w:r>
      <w:r>
        <w:rPr>
          <w:i/>
          <w:iCs/>
        </w:rPr>
        <w:t xml:space="preserve">w̃</w:t>
      </w:r>
      <w:r>
        <w:t xml:space="preserve"> </w:t>
      </w:r>
      <w:r>
        <w:t xml:space="preserve">the normalised survey weights, which is the estimating-equation analogue of the usual MLE and makes the estimate population-referenced. Optimisation is over log σ to keep the scale positive.</w:t>
      </w:r>
    </w:p>
    <w:p>
      <w:pPr>
        <w:pStyle w:val="BodyText"/>
      </w:pPr>
      <w:r>
        <w:rPr>
          <w:i/>
          <w:iCs/>
        </w:rPr>
        <w:t xml:space="preserve">Uncertainty is design-consistent.</w:t>
      </w:r>
      <w:r>
        <w:t xml:space="preserve"> </w:t>
      </w:r>
      <w:r>
        <w:t xml:space="preserve">Observations are clustered within primary sampling units and stratified, so a naive bootstrap understates the standard error. We resample PSUs with replacement within strata and recompute every statistic on each replicate, including the shape parameter, taking percentile intervals from the replicate distribution.</w:t>
      </w:r>
    </w:p>
    <w:p>
      <w:pPr>
        <w:pStyle w:val="BodyText"/>
      </w:pPr>
      <w:r>
        <w:t xml:space="preserve">Because ξ is notoriously threshold-sensitive, we refit at the 85th, 90th and 95th percentiles and report the whole grid rather than a single number.</w:t>
      </w:r>
    </w:p>
    <w:bookmarkEnd w:id="18"/>
    <w:bookmarkStart w:id="19" w:name="parity"/>
    <w:p>
      <w:pPr>
        <w:pStyle w:val="Heading3"/>
      </w:pPr>
      <w:r>
        <w:t xml:space="preserve">4.4 Parity</w:t>
      </w:r>
    </w:p>
    <w:p>
      <w:pPr>
        <w:pStyle w:val="FirstParagraph"/>
      </w:pPr>
      <w:r>
        <w:t xml:space="preserve">Two ways of locating where the American distribution reaches Nigerian levels. The</w:t>
      </w:r>
      <w:r>
        <w:t xml:space="preserve"> </w:t>
      </w:r>
      <w:r>
        <w:rPr>
          <w:i/>
          <w:iCs/>
        </w:rPr>
        <w:t xml:space="preserve">exceedance share</w:t>
      </w:r>
      <w:r>
        <w:t xml:space="preserve"> </w:t>
      </w:r>
      <w:r>
        <w:t xml:space="preserve">is the weighted share of US families whose burden exceeds a Nigerian reference burden — the informal household’s median, upper quartile and 90th percentile. The</w:t>
      </w:r>
      <w:r>
        <w:t xml:space="preserve"> </w:t>
      </w:r>
      <w:r>
        <w:rPr>
          <w:i/>
          <w:iCs/>
        </w:rPr>
        <w:t xml:space="preserve">crossover percentile</w:t>
      </w:r>
      <w:r>
        <w:t xml:space="preserve"> </w:t>
      </w:r>
      <w:r>
        <w:t xml:space="preserve">is the point above which a US group’s burden at a given percentile exceeds the Nigerian burden at the same percentile, taken as the last sustained crossing rather than the first touch, since the two curves brush near zero at the bottom where neither group spends anything.</w:t>
      </w:r>
    </w:p>
    <w:bookmarkEnd w:id="19"/>
    <w:bookmarkEnd w:id="20"/>
    <w:bookmarkStart w:id="41" w:name="results"/>
    <w:p>
      <w:pPr>
        <w:pStyle w:val="Heading2"/>
      </w:pPr>
      <w:r>
        <w:t xml:space="preserve">5. Results</w:t>
      </w:r>
    </w:p>
    <w:bookmarkStart w:id="24" w:name="Xc1b4f9a9782b79a22faafe294ef1f28d2ce525e"/>
    <w:p>
      <w:pPr>
        <w:pStyle w:val="Heading3"/>
      </w:pPr>
      <w:r>
        <w:t xml:space="preserve">5.1 On the conventional measures, Nigeria is worse</w:t>
      </w:r>
    </w:p>
    <w:p>
      <w:pPr>
        <w:pStyle w:val="FirstParagraph"/>
      </w:pPr>
      <w:r>
        <w:t xml:space="preserve">Table 1 gives catastrophic spending on both harmonised definitions. At the 10% budget-share threshold, 17.2% of Nigerian households are affected (95% CI 15.7–18.8) against</w:t>
      </w:r>
      <w:r>
        <w:t xml:space="preserve"> </w:t>
      </w:r>
      <w:r>
        <w:rPr>
          <w:b/>
          <w:bCs/>
        </w:rPr>
        <w:t xml:space="preserve">7.2% of US families</w:t>
      </w:r>
      <w:r>
        <w:t xml:space="preserve"> </w:t>
      </w:r>
      <w:r>
        <w:t xml:space="preserve">(6.9–7.5) — a ratio of 2.4. At 25% the rates are 5.0% and 2.2%. On the capacity-to-pay definition the gap widens:</w:t>
      </w:r>
      <w:r>
        <w:t xml:space="preserve"> </w:t>
      </w:r>
      <w:r>
        <w:rPr>
          <w:b/>
          <w:bCs/>
        </w:rPr>
        <w:t xml:space="preserve">39.5%</w:t>
      </w:r>
      <w:r>
        <w:t xml:space="preserve"> </w:t>
      </w:r>
      <w:r>
        <w:t xml:space="preserve">of Nigerian households against</w:t>
      </w:r>
      <w:r>
        <w:t xml:space="preserve"> </w:t>
      </w:r>
      <w:r>
        <w:rPr>
          <w:b/>
          <w:bCs/>
        </w:rPr>
        <w:t xml:space="preserve">12.6%</w:t>
      </w:r>
      <w:r>
        <w:t xml:space="preserve"> </w:t>
      </w:r>
      <w:r>
        <w:t xml:space="preserve">of US families.</w:t>
      </w:r>
    </w:p>
    <w:p>
      <w:pPr>
        <w:pStyle w:val="BodyText"/>
      </w:pPr>
      <w:r>
        <w:t xml:space="preserve">The widest gap of all is in the share of households with no capacity to pay whatever:</w:t>
      </w:r>
      <w:r>
        <w:t xml:space="preserve"> </w:t>
      </w:r>
      <w:r>
        <w:rPr>
          <w:b/>
          <w:bCs/>
        </w:rPr>
        <w:t xml:space="preserve">49.9% in Nigeria against 12.7% in the United States</w:t>
      </w:r>
      <w:r>
        <w:t xml:space="preserve">. Half of Nigerian households live at or below the national poverty line, so any health spending at all comes out of subsistence.</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4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harmonised definitions. Bars are survey-weighted; whiskers are 95% design-based confidence intervals.</w:t>
      </w:r>
    </w:p>
    <w:p>
      <w:pPr>
        <w:pStyle w:val="BodyText"/>
      </w:pPr>
      <w:r>
        <w:t xml:space="preserve">Nothing here is surprising, and this is the comparison the literature already supports. It is also, we will argue, the least informative comparison available.</w:t>
      </w:r>
    </w:p>
    <w:bookmarkEnd w:id="24"/>
    <w:bookmarkStart w:id="28" w:name="in-the-tail-the-ordering-reverses"/>
    <w:p>
      <w:pPr>
        <w:pStyle w:val="Heading3"/>
      </w:pPr>
      <w:r>
        <w:t xml:space="preserve">5.2 In the tail, the ordering reverses</w:t>
      </w:r>
    </w:p>
    <w:p>
      <w:pPr>
        <w:pStyle w:val="FirstParagraph"/>
      </w:pPr>
      <w:r>
        <w:t xml:space="preserve">Table 2 gives the burden distribution quantile by quantile, and the pattern is the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Quantile</w:t>
            </w:r>
          </w:p>
        </w:tc>
        <w:tc>
          <w:tcPr/>
          <w:p>
            <w:pPr>
              <w:pStyle w:val="Compact"/>
              <w:jc w:val="right"/>
            </w:pPr>
            <w:r>
              <w:t xml:space="preserve">United States</w:t>
            </w:r>
          </w:p>
        </w:tc>
        <w:tc>
          <w:tcPr/>
          <w:p>
            <w:pPr>
              <w:pStyle w:val="Compact"/>
              <w:jc w:val="right"/>
            </w:pPr>
            <w:r>
              <w:t xml:space="preserve">Nigeria</w:t>
            </w:r>
          </w:p>
        </w:tc>
        <w:tc>
          <w:tcPr/>
          <w:p>
            <w:pPr>
              <w:pStyle w:val="Compact"/>
              <w:jc w:val="right"/>
            </w:pPr>
            <w:r>
              <w:t xml:space="preserve">Ratio</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r>
      <w:tr>
        <w:tc>
          <w:tcPr/>
          <w:p>
            <w:pPr>
              <w:pStyle w:val="Compact"/>
            </w:pPr>
            <w:r>
              <w:rPr>
                <w:b/>
                <w:bCs/>
              </w:rPr>
              <w:t xml:space="preserve">q99</w:t>
            </w:r>
          </w:p>
        </w:tc>
        <w:tc>
          <w:tcPr/>
          <w:p>
            <w:pPr>
              <w:pStyle w:val="Compact"/>
              <w:jc w:val="right"/>
            </w:pPr>
            <w:r>
              <w:rPr>
                <w:b/>
                <w:bCs/>
              </w:rPr>
              <w:t xml:space="preserve">42.13%</w:t>
            </w:r>
          </w:p>
        </w:tc>
        <w:tc>
          <w:tcPr/>
          <w:p>
            <w:pPr>
              <w:pStyle w:val="Compact"/>
              <w:jc w:val="right"/>
            </w:pPr>
            <w:r>
              <w:rPr>
                <w:b/>
                <w:bCs/>
              </w:rPr>
              <w:t xml:space="preserve">48.19%</w:t>
            </w:r>
          </w:p>
        </w:tc>
        <w:tc>
          <w:tcPr/>
          <w:p>
            <w:pPr>
              <w:pStyle w:val="Compact"/>
              <w:jc w:val="right"/>
            </w:pPr>
            <w:r>
              <w:rPr>
                <w:b/>
                <w:bCs/>
              </w:rPr>
              <w:t xml:space="preserve">1.14</w:t>
            </w:r>
          </w:p>
        </w:tc>
      </w:tr>
    </w:tbl>
    <w:p>
      <w:pPr>
        <w:pStyle w:val="BodyText"/>
      </w:pPr>
      <w:r>
        <w:t xml:space="preserve">The Nigerian burden is about twice the American one from the median through the 90th percentile. By the 99th the two have essentially converged. The gap does not close because Nigeria improves; it closes because the American distribution accelerates.</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1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Burden by percentile of each group’s own distribution. Nigeria is worse through the middle; the American curves overtake it in the tail. The star marks where poor and near-poor US families cross Nigeria’s informal sector.</w:t>
      </w:r>
    </w:p>
    <w:bookmarkEnd w:id="28"/>
    <w:bookmarkStart w:id="35" w:name="X565f1ecb6186b121dcb90d3ba1f42881abe88c9"/>
    <w:p>
      <w:pPr>
        <w:pStyle w:val="Heading3"/>
      </w:pPr>
      <w:r>
        <w:t xml:space="preserve">5.3 The American distribution is heavy-tailed; the Nigerian one is not</w:t>
      </w:r>
    </w:p>
    <w:p>
      <w:pPr>
        <w:pStyle w:val="FirstParagraph"/>
      </w:pPr>
      <w:r>
        <w:t xml:space="preserve">Table 3 gives the tail measures and Figure 3 the shape estimates. The result is unusually clean.</w:t>
      </w:r>
    </w:p>
    <w:p>
      <w:pPr>
        <w:pStyle w:val="BodyText"/>
      </w:pPr>
      <w:r>
        <w:t xml:space="preserve">For all US families the generalised Pareto shape is</w:t>
      </w:r>
      <w:r>
        <w:t xml:space="preserve"> </w:t>
      </w:r>
      <w:r>
        <w:rPr>
          <w:b/>
          <w:bCs/>
        </w:rPr>
        <w:t xml:space="preserve">ξ = +0.672 (95% CI 0.625 to 0.718)</w:t>
      </w:r>
      <w:r>
        <w:t xml:space="preserve">. For all Nigerian households it is</w:t>
      </w:r>
      <w:r>
        <w:t xml:space="preserve"> </w:t>
      </w:r>
      <w:r>
        <w:rPr>
          <w:b/>
          <w:bCs/>
        </w:rPr>
        <w:t xml:space="preserve">ξ = +0.088 (−0.063 to 0.205)</w:t>
      </w:r>
      <w:r>
        <w:t xml:space="preserve">. Every US group lies above every Nigerian group and no US interval overlaps any Nigerian interval. Values above one half imply infinite variance; every US group is above it and no Nigerian group comes close. Four of the six Nigerian groups have a point estimate below zero, which implies a tail with a finite upper bound.</w:t>
      </w:r>
    </w:p>
    <w:p>
      <w:pPr>
        <w:pStyle w:val="BodyText"/>
      </w:pPr>
      <w:r>
        <w:t xml:space="preserve">The estimates are stable where it matters. Across thresholds at the 85th, 90th and 95th percentiles the US shape moves between 0.60 and 0.80 and never approaches the Nigerian range; the Nigerian shape hovers around zero and turns more negative at higher thresholds, which is what a bounded tail looks like.</w:t>
      </w:r>
    </w:p>
    <w:p>
      <w:pPr>
        <w:pStyle w:val="BodyText"/>
      </w:pPr>
      <w:r>
        <w:drawing>
          <wp:inline>
            <wp:extent cx="5334000" cy="2591672"/>
            <wp:effectExtent b="0" l="0" r="0" t="0"/>
            <wp:docPr descr="" title="" id="30" name="Picture"/>
            <a:graphic>
              <a:graphicData uri="http://schemas.openxmlformats.org/drawingml/2006/picture">
                <pic:pic>
                  <pic:nvPicPr>
                    <pic:cNvPr descr="../output/figures/figure3_tail_index.png" id="31" name="Picture"/>
                    <pic:cNvPicPr>
                      <a:picLocks noChangeArrowheads="1" noChangeAspect="1"/>
                    </pic:cNvPicPr>
                  </pic:nvPicPr>
                  <pic:blipFill>
                    <a:blip r:embed="rId29"/>
                    <a:stretch>
                      <a:fillRect/>
                    </a:stretch>
                  </pic:blipFill>
                  <pic:spPr bwMode="auto">
                    <a:xfrm>
                      <a:off x="0" y="0"/>
                      <a:ext cx="5334000" cy="25916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Generalised Pareto shape by group, with bootstrap intervals from resampling PSUs within strata, and the same estimates refitted across three thresholds.</w:t>
      </w:r>
    </w:p>
    <w:p>
      <w:pPr>
        <w:pStyle w:val="BodyText"/>
      </w:pPr>
      <w:r>
        <w:t xml:space="preserve">Expected shortfall makes the consequence concrete. At the 95th percentile the mean burden is</w:t>
      </w:r>
      <w:r>
        <w:t xml:space="preserve"> </w:t>
      </w:r>
      <w:r>
        <w:rPr>
          <w:b/>
          <w:bCs/>
        </w:rPr>
        <w:t xml:space="preserve">42.9% of resources</w:t>
      </w:r>
      <w:r>
        <w:t xml:space="preserve"> </w:t>
      </w:r>
      <w:r>
        <w:t xml:space="preserve">in the United States (95% CI 39.2–47.8) against</w:t>
      </w:r>
      <w:r>
        <w:t xml:space="preserve"> </w:t>
      </w:r>
      <w:r>
        <w:rPr>
          <w:b/>
          <w:bCs/>
        </w:rPr>
        <w:t xml:space="preserve">38.1%</w:t>
      </w:r>
      <w:r>
        <w:t xml:space="preserve"> </w:t>
      </w:r>
      <w:r>
        <w:t xml:space="preserve">in Nigeria (35.6–41.0) — the American figure is already the larger, despite an average catastrophic rate less than half Nigeria’s. Among</w:t>
      </w:r>
      <w:r>
        <w:t xml:space="preserve"> </w:t>
      </w:r>
      <w:r>
        <w:rPr>
          <w:b/>
          <w:bCs/>
        </w:rPr>
        <w:t xml:space="preserve">poor and near-poor US families the figure is 124.7%</w:t>
      </w:r>
      <w:r>
        <w:t xml:space="preserve"> </w:t>
      </w:r>
      <w:r>
        <w:t xml:space="preserve">(98.7–157.9): the worst-affected five percent of poor American families spend more in a year on health care than they earn. At the 99th percentile that group’s expected shortfall is 391.3% of annual income. The Nigerian equivalents are 60.2% for all households and 62.3% for the informal sector.</w:t>
      </w:r>
    </w:p>
    <w:p>
      <w:pPr>
        <w:pStyle w:val="BodyText"/>
      </w:pPr>
      <w:r>
        <w:drawing>
          <wp:inline>
            <wp:extent cx="5334000" cy="2676157"/>
            <wp:effectExtent b="0" l="0" r="0" t="0"/>
            <wp:docPr descr="" title="" id="33" name="Picture"/>
            <a:graphic>
              <a:graphicData uri="http://schemas.openxmlformats.org/drawingml/2006/picture">
                <pic:pic>
                  <pic:nvPicPr>
                    <pic:cNvPr descr="../output/figures/figure2_tail_measures.png" id="34" name="Picture"/>
                    <pic:cNvPicPr>
                      <a:picLocks noChangeArrowheads="1" noChangeAspect="1"/>
                    </pic:cNvPicPr>
                  </pic:nvPicPr>
                  <pic:blipFill>
                    <a:blip r:embed="rId32"/>
                    <a:stretch>
                      <a:fillRect/>
                    </a:stretch>
                  </pic:blipFill>
                  <pic:spPr bwMode="auto">
                    <a:xfrm>
                      <a:off x="0" y="0"/>
                      <a:ext cx="5334000" cy="2676157"/>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Value-at-Risk and expected shortfall at the 95th percentile. The dotted line marks a burden equal to a full year’s resources.</w:t>
      </w:r>
    </w:p>
    <w:p>
      <w:pPr>
        <w:pStyle w:val="BodyText"/>
      </w:pPr>
      <w:r>
        <w:t xml:space="preserve">That a burden can exceed 100% of annual income at all is the mechanism. It requires a bill that need not be paid from current resources — which is to say, credit, and the medical debt that Bernard et al. (2023) document. Nigeria’s distribution is bounded because a Nigerian household without the money does not receive the care.</w:t>
      </w:r>
    </w:p>
    <w:bookmarkEnd w:id="35"/>
    <w:bookmarkStart w:id="39" w:name="X170885a89c719a1882bf4a54d7fa9d42bf23d1b"/>
    <w:p>
      <w:pPr>
        <w:pStyle w:val="Heading3"/>
      </w:pPr>
      <w:r>
        <w:t xml:space="preserve">5.4 How much of America already lives at Nigerian levels</w:t>
      </w:r>
    </w:p>
    <w:p>
      <w:pPr>
        <w:pStyle w:val="FirstParagraph"/>
      </w:pPr>
      <w:r>
        <w:t xml:space="preserve">Table 4 gives the parity results, and they are the most directly interpretable numbers in the paper.</w:t>
      </w:r>
    </w:p>
    <w:p>
      <w:pPr>
        <w:pStyle w:val="BodyText"/>
      </w:pPr>
      <w:r>
        <w:rPr>
          <w:b/>
          <w:bCs/>
        </w:rPr>
        <w:t xml:space="preserve">37.0% of all US families</w:t>
      </w:r>
      <w:r>
        <w:t xml:space="preserve"> </w:t>
      </w:r>
      <w:r>
        <w:t xml:space="preserve">carry a burden heavier than the</w:t>
      </w:r>
      <w:r>
        <w:t xml:space="preserve"> </w:t>
      </w:r>
      <w:r>
        <w:rPr>
          <w:i/>
          <w:iCs/>
        </w:rPr>
        <w:t xml:space="preserve">median</w:t>
      </w:r>
      <w:r>
        <w:t xml:space="preserve"> </w:t>
      </w:r>
      <w:r>
        <w:t xml:space="preserve">Nigerian informal household. Among families with an elderly member the figure is</w:t>
      </w:r>
      <w:r>
        <w:t xml:space="preserve"> </w:t>
      </w:r>
      <w:r>
        <w:rPr>
          <w:b/>
          <w:bCs/>
        </w:rPr>
        <w:t xml:space="preserve">50.4%</w:t>
      </w:r>
      <w:r>
        <w:t xml:space="preserve">; among families with a chronic condition, 41.5%. Against the Nigerian informal upper quartile, 11.6% of all US families are above it, rising to 21.4% among the poor and near-poor. Against its 90th percentile, 3.8% of all US families and</w:t>
      </w:r>
      <w:r>
        <w:t xml:space="preserve"> </w:t>
      </w:r>
      <w:r>
        <w:rPr>
          <w:b/>
          <w:bCs/>
        </w:rPr>
        <w:t xml:space="preserve">11.1% of poor US families</w:t>
      </w:r>
      <w:r>
        <w:t xml:space="preserve"> </w:t>
      </w:r>
      <w:r>
        <w:t xml:space="preserve">are above.</w:t>
      </w:r>
    </w:p>
    <w:p>
      <w:pPr>
        <w:pStyle w:val="BodyText"/>
      </w:pPr>
      <w:r>
        <w:t xml:space="preserve">The crossover analysis locates the same result differently. All US families overtake Nigeria’s informal sector at the 99.5th percentile of their own distribution. Families with an elderly member cross at the 99th.</w:t>
      </w:r>
      <w:r>
        <w:t xml:space="preserve"> </w:t>
      </w:r>
      <w:r>
        <w:rPr>
          <w:b/>
          <w:bCs/>
        </w:rPr>
        <w:t xml:space="preserve">Poor and near-poor families cross at the 85th</w:t>
      </w:r>
      <w:r>
        <w:t xml:space="preserve"> </w:t>
      </w:r>
      <w:r>
        <w:t xml:space="preserve">— above that point, a poor American family carries a heavier relative burden than a Nigerian informal household at the same rank in its own distribution.</w:t>
      </w:r>
    </w:p>
    <w:p>
      <w:pPr>
        <w:pStyle w:val="BodyText"/>
      </w:pPr>
      <w:r>
        <w:drawing>
          <wp:inline>
            <wp:extent cx="5334000" cy="2856335"/>
            <wp:effectExtent b="0" l="0" r="0" t="0"/>
            <wp:docPr descr="" title="" id="37" name="Picture"/>
            <a:graphic>
              <a:graphicData uri="http://schemas.openxmlformats.org/drawingml/2006/picture">
                <pic:pic>
                  <pic:nvPicPr>
                    <pic:cNvPr descr="../output/figures/figure5_parity.png" id="38" name="Picture"/>
                    <pic:cNvPicPr>
                      <a:picLocks noChangeArrowheads="1" noChangeAspect="1"/>
                    </pic:cNvPicPr>
                  </pic:nvPicPr>
                  <pic:blipFill>
                    <a:blip r:embed="rId36"/>
                    <a:stretch>
                      <a:fillRect/>
                    </a:stretch>
                  </pic:blipFill>
                  <pic:spPr bwMode="auto">
                    <a:xfrm>
                      <a:off x="0" y="0"/>
                      <a:ext cx="5334000" cy="285633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Share of US families already carrying a burden heavier than the Nigerian informal household at three points of its distribution.</w:t>
      </w:r>
    </w:p>
    <w:bookmarkEnd w:id="39"/>
    <w:bookmarkStart w:id="40" w:name="X0cced0fdbd9a1002356b0c921e108478fcb0a3d"/>
    <w:p>
      <w:pPr>
        <w:pStyle w:val="Heading3"/>
      </w:pPr>
      <w:r>
        <w:t xml:space="preserve">5.5 Insurance compresses the middle without truncating the tail</w:t>
      </w:r>
    </w:p>
    <w:p>
      <w:pPr>
        <w:pStyle w:val="FirstParagraph"/>
      </w:pPr>
      <w:r>
        <w:t xml:space="preserve">Grouping by insurance status gives a result that looks wrong until the mechanism is clear. Families insured all year have a</w:t>
      </w:r>
      <w:r>
        <w:t xml:space="preserve"> </w:t>
      </w:r>
      <w:r>
        <w:rPr>
          <w:i/>
          <w:iCs/>
        </w:rPr>
        <w:t xml:space="preserve">higher</w:t>
      </w:r>
      <w:r>
        <w:t xml:space="preserve"> </w:t>
      </w:r>
      <w:r>
        <w:t xml:space="preserve">median burden (1.13%) than families uninsured all year (0.28%), and higher mean out-of-pocket spending ($1,699 against $1,237). The uninsured are not better protected. They use less care, and out-of-pocket spending cannot record care that was never sought — the same censoring that makes every catastrophic-spending measure understate unmet need.</w:t>
      </w:r>
    </w:p>
    <w:p>
      <w:pPr>
        <w:pStyle w:val="BodyText"/>
      </w:pPr>
      <w:r>
        <w:t xml:space="preserve">In the tail the groups converge and then invert. At the 95th percentile the uninsured burden (14.40%) exceeds the insured (13.60%); at the 99th the gap is wide, 57.6% against 41.5%. The shape parameters tell the same story: 0.659 for the insured, 0.594 for the uninsured, 0.737 for the partly uninsured — all heavy, none meaningfully protected in the tail.</w:t>
      </w:r>
    </w:p>
    <w:p>
      <w:pPr>
        <w:pStyle w:val="BodyText"/>
      </w:pPr>
      <w:r>
        <w:t xml:space="preserve">This is the clearest statement of what American coverage does and does not do. It compresses the middle of the burden distribution, which is what the low average catastrophic rate reflects. It does not truncate the tail, which is what a deductible-and-coinsurance design without a binding effective cap will always fail to do. Underinsurance, measured as an outcome, affects</w:t>
      </w:r>
      <w:r>
        <w:t xml:space="preserve"> </w:t>
      </w:r>
      <w:r>
        <w:rPr>
          <w:b/>
          <w:bCs/>
        </w:rPr>
        <w:t xml:space="preserve">10.0% of families insured all year</w:t>
      </w:r>
      <w:r>
        <w:t xml:space="preserve">, and that is a lower bound because we cannot apply the deductible criterion.</w:t>
      </w:r>
    </w:p>
    <w:bookmarkEnd w:id="40"/>
    <w:bookmarkEnd w:id="41"/>
    <w:bookmarkStart w:id="42" w:name="discussion"/>
    <w:p>
      <w:pPr>
        <w:pStyle w:val="Heading2"/>
      </w:pPr>
      <w:r>
        <w:t xml:space="preserve">6. Discussion</w:t>
      </w:r>
    </w:p>
    <w:p>
      <w:pPr>
        <w:pStyle w:val="FirstParagraph"/>
      </w:pPr>
      <w:r>
        <w:rPr>
          <w:b/>
          <w:bCs/>
        </w:rPr>
        <w:t xml:space="preserve">The comparison the averages get wrong.</w:t>
      </w:r>
      <w:r>
        <w:t xml:space="preserve"> </w:t>
      </w:r>
      <w:r>
        <w:t xml:space="preserve">On the standard summary, Nigerian households face two and a half times the catastrophic-spending risk of American ones, and that is true. It is also close to uninformative about the events that destroy household finances. In the tail the two systems converge, and among poor American families the American tail is far worse — an expected shortfall above annual income at the 95th percentile, against 40% of consumption for Nigeria’s informal sector. Reporting only the headcount would have shown none of this.</w:t>
      </w:r>
    </w:p>
    <w:p>
      <w:pPr>
        <w:pStyle w:val="BodyText"/>
      </w:pPr>
      <w:r>
        <w:t xml:space="preserve">We would put the methodological claim strongly. Financial-protection monitoring has standardised on an incidence measure at two thresholds, and incidence at a threshold is a single point on a distribution function. Two systems with identical incidence can have entirely different exposures above the threshold, and here two systems with very different incidence have converging exposures. The tail measures are neither exotic nor expensive: they need the same microdata already collected for SDG 3.8.2 reporting.</w:t>
      </w:r>
    </w:p>
    <w:p>
      <w:pPr>
        <w:pStyle w:val="BodyText"/>
      </w:pPr>
      <w:r>
        <w:rPr>
          <w:b/>
          <w:bCs/>
        </w:rPr>
        <w:t xml:space="preserve">Why the shapes differ.</w:t>
      </w:r>
      <w:r>
        <w:t xml:space="preserve"> </w:t>
      </w:r>
      <w:r>
        <w:t xml:space="preserve">The heavy American tail and the bounded Nigerian one reflect two different ways of failing a household. A Nigerian household facing a bill beyond its means does not pay it — it forgoes the care, sells an asset, or borrows within a narrow local limit. The observed burden is bounded above by what could be raised, and the true welfare loss shows up as unmet need, which no out-of-pocket statistic records. An American household facing the same bill is treated and then billed, and the bill can be financed. The observed burden is bounded by what can be borrowed, which is a much higher ceiling.</w:t>
      </w:r>
    </w:p>
    <w:p>
      <w:pPr>
        <w:pStyle w:val="BodyText"/>
      </w:pPr>
      <w:r>
        <w:t xml:space="preserve">This means the two distributions are not measuring quite the same thing even when harmonised, and the asymmetry runs in a specific direction: Nigeria’s burden is censored by poverty, America’s is not. Our comparison therefore</w:t>
      </w:r>
      <w:r>
        <w:t xml:space="preserve"> </w:t>
      </w:r>
      <w:r>
        <w:rPr>
          <w:i/>
          <w:iCs/>
        </w:rPr>
        <w:t xml:space="preserve">understates</w:t>
      </w:r>
      <w:r>
        <w:t xml:space="preserve"> </w:t>
      </w:r>
      <w:r>
        <w:t xml:space="preserve">how much worse Nigeria’s underlying exposure is in the middle, and does not understate the American tail. Both of those work against reading this paper as saying America is worse overall. It is not. It is worse in the tail, which is a narrower and more precise claim.</w:t>
      </w:r>
    </w:p>
    <w:p>
      <w:pPr>
        <w:pStyle w:val="BodyText"/>
      </w:pPr>
      <w:r>
        <w:t xml:space="preserve">Our finding that the heaviest American tails belong to poor and near-poor families echoes Baird’s (2016b) conclusion that the United States compares least favourably with Canada precisely among poorer citizens. Two independent comparisons, different counterpart countries and different methods, point at the same subgroup.</w:t>
      </w:r>
    </w:p>
    <w:p>
      <w:pPr>
        <w:pStyle w:val="BodyText"/>
      </w:pPr>
      <w:r>
        <w:rPr>
          <w:b/>
          <w:bCs/>
        </w:rPr>
        <w:t xml:space="preserve">Implications for benefit design.</w:t>
      </w:r>
      <w:r>
        <w:t xml:space="preserve"> </w:t>
      </w:r>
      <w:r>
        <w:t xml:space="preserve">If the tail is the problem, the instrument is a cap. American coverage already compresses routine spending; what it does not reliably do is bound the worst case, and the groups with the heaviest tails — poor and near-poor families, the partly insured — are those for whom out-of-pocket maxima are least binding in practice, whether through non-covered services, out-of-network care, or the interaction of deductibles with low liquid assets. A benefit design evaluated on its average burden reduction will look adequate; the same design evaluated on expected shortfall will not.</w:t>
      </w:r>
    </w:p>
    <w:p>
      <w:pPr>
        <w:pStyle w:val="BodyText"/>
      </w:pPr>
      <w:r>
        <w:t xml:space="preserve">For Nigeria, the reading is the opposite and matches the companion paper’s finding. The Nigerian problem is not tail volatility, which is modest, but the level and universality of routine burden, half the population having no capacity to pay at all. That is a problem of price and subsidy, not of catastrophic cover.</w:t>
      </w:r>
    </w:p>
    <w:p>
      <w:pPr>
        <w:pStyle w:val="BodyText"/>
      </w:pPr>
      <w:r>
        <w:rPr>
          <w:b/>
          <w:bCs/>
        </w:rPr>
        <w:t xml:space="preserve">Limitations.</w:t>
      </w:r>
      <w:r>
        <w:t xml:space="preserve"> </w:t>
      </w:r>
      <w:r>
        <w:t xml:space="preserve">The denominators differ, and no amount of harmonisation changes that; the paper measures relative burden, not welfare. Out-of-pocket spending excludes premiums in both countries, which understates the American burden — a family paying substantial premium contributions and little else appears unburdened here. Both surveys under-sample extreme medical events by construction, which biases tail estimates toward the light; the American tail is therefore, if anything, heavier than estimated. The underinsurance rate omits the deductible criterion and is a lower bound. The Nigerian data are one wave and cannot separate a bad year from a trend. Foregone care is invisible in both countries and is the largest unmeasured quantity in the paper.</w:t>
      </w:r>
    </w:p>
    <w:bookmarkEnd w:id="42"/>
    <w:bookmarkStart w:id="43" w:name="conclusion"/>
    <w:p>
      <w:pPr>
        <w:pStyle w:val="Heading2"/>
      </w:pPr>
      <w:r>
        <w:t xml:space="preserve">7. Conclusion</w:t>
      </w:r>
    </w:p>
    <w:p>
      <w:pPr>
        <w:pStyle w:val="FirstParagraph"/>
      </w:pPr>
      <w:r>
        <w:t xml:space="preserve">Nigeria’s households face catastrophic health spending two and a half times more often than America’s. America’s face a tail that is heavier by every measure we can apply: a generalised Pareto shape of 0.67 against 0.09, an expected shortfall at the 95th percentile that already exceeds Nigeria’s, and, among poor families, a worst-case burden above a full year’s income. Thirty-seven percent of American families already carry a heavier burden than the median Nigerian informal household.</w:t>
      </w:r>
    </w:p>
    <w:p>
      <w:pPr>
        <w:pStyle w:val="BodyText"/>
      </w:pPr>
      <w:r>
        <w:t xml:space="preserve">The two systems fail differently. One fails by making ordinary care unaffordable for almost everyone; the other by leaving a minority exposed to bills that no income can absorb. Average catastrophic-spending rates see the first and are blind to the second. Financial-protection monitoring should report the tail.</w:t>
      </w:r>
    </w:p>
    <w:p>
      <w:r>
        <w:pict>
          <v:rect style="width:0;height:1.5pt" o:hralign="center" o:hrstd="t" o:hr="t"/>
        </w:pict>
      </w:r>
    </w:p>
    <w:bookmarkEnd w:id="43"/>
    <w:bookmarkStart w:id="4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Funding.</w:t>
      </w:r>
      <w:r>
        <w:t xml:space="preserve"> </w:t>
      </w:r>
      <w:r>
        <w:rPr>
          <w:i/>
          <w:iCs/>
        </w:rPr>
        <w:t xml:space="preserve">[to be completed]</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conceptualisation, methodology, software, formal analysis, data curation, writing — original draft, writing — review and editing.</w:t>
      </w:r>
    </w:p>
    <w:p>
      <w:r>
        <w:pict>
          <v:rect style="width:0;height:1.5pt" o:hralign="center" o:hrstd="t" o:hr="t"/>
        </w:pict>
      </w:r>
    </w:p>
    <w:bookmarkEnd w:id="44"/>
    <w:bookmarkStart w:id="45" w:name="references"/>
    <w:p>
      <w:pPr>
        <w:pStyle w:val="Heading2"/>
      </w:pPr>
      <w:r>
        <w:t xml:space="preserve">References</w:t>
      </w:r>
    </w:p>
    <w:p>
      <w:pPr>
        <w:pStyle w:val="Compact"/>
        <w:numPr>
          <w:ilvl w:val="0"/>
          <w:numId w:val="1001"/>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1"/>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1"/>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1"/>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doi:10.1161/CIRCOUTCOMES.119.006139</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Wiley. ISBN 978-1-119-52378-9</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 ISBN 978-0-8213-6933-3</w:t>
      </w:r>
    </w:p>
    <w:p>
      <w:pPr>
        <w:pStyle w:val="Compact"/>
        <w:numPr>
          <w:ilvl w:val="0"/>
          <w:numId w:val="1001"/>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20(1). doi:10.1186/s12961-022-00886-3</w:t>
      </w:r>
    </w:p>
    <w:p>
      <w:pPr>
        <w:pStyle w:val="Compact"/>
        <w:numPr>
          <w:ilvl w:val="0"/>
          <w:numId w:val="1001"/>
        </w:numPr>
      </w:pPr>
      <w:r>
        <w:t xml:space="preserve">Richard, P., Walker, R., &amp; Alexandre, P.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921–934. doi:10.1002/hec.776</w:t>
      </w:r>
    </w:p>
    <w:p>
      <w:pPr>
        <w:pStyle w:val="Compact"/>
        <w:numPr>
          <w:ilvl w:val="0"/>
          <w:numId w:val="1001"/>
        </w:numPr>
      </w:pPr>
      <w:r>
        <w:t xml:space="preserve">Wagstaff, A., Flores, G., Hsu, J.,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&amp; World Bank (2023).</w:t>
      </w:r>
      <w:r>
        <w:t xml:space="preserve"> </w:t>
      </w:r>
      <w:r>
        <w:rPr>
          <w:i/>
          <w:iCs/>
        </w:rPr>
        <w:t xml:space="preserve">Tracking Universal Health Coverage: 2023 Global Monitoring Report</w:t>
      </w:r>
      <w:r>
        <w:t xml:space="preserve">. Geneva: WHO. ISBN 978-92-4-008037-9</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1"/>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p>
      <w:pPr>
        <w:pStyle w:val="FirstParagraph"/>
      </w:pPr>
      <w:r>
        <w:rPr>
          <w:i/>
          <w:iCs/>
        </w:rPr>
        <w:t xml:space="preserve">All DOIs were verified against the Crossref REST API.</w:t>
      </w:r>
    </w:p>
    <w:bookmarkEnd w:id="45"/>
    <w:bookmarkEnd w:id="46"/>
    <w:bookmarkStart w:id="47"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Taylor-linearised standard errors for a stratified single-stage cluster design. US amounts are in constant 2024 dollars; Nigerian amounts in constant August 2023 naira. Burden is out-of-pocket spending over family income in the United States and over household consumption in Nigeria.</w:t>
      </w:r>
    </w:p>
    <w:p>
      <w:pPr>
        <w:pStyle w:val="BodyText"/>
      </w:pPr>
      <w:r>
        <w:rPr>
          <w:b/>
          <w:bCs/>
        </w:rPr>
        <w:t xml:space="preserve">Table 1.</w:t>
      </w:r>
      <w:r>
        <w:t xml:space="preserve"> </w:t>
      </w:r>
      <w:r>
        <w:t xml:space="preserve">Catastrophic spending on harmonised definitions.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7.19</w:t>
            </w:r>
          </w:p>
        </w:tc>
        <w:tc>
          <w:tcPr/>
          <w:p>
            <w:pPr>
              <w:pStyle w:val="Compact"/>
              <w:jc w:val="right"/>
            </w:pPr>
            <w:r>
              <w:t xml:space="preserve">0.15</w:t>
            </w:r>
          </w:p>
        </w:tc>
        <w:tc>
          <w:tcPr/>
          <w:p>
            <w:pPr>
              <w:pStyle w:val="Compact"/>
              <w:jc w:val="right"/>
            </w:pPr>
            <w:r>
              <w:t xml:space="preserve">6.89</w:t>
            </w:r>
          </w:p>
        </w:tc>
        <w:tc>
          <w:tcPr/>
          <w:p>
            <w:pPr>
              <w:pStyle w:val="Compact"/>
              <w:jc w:val="right"/>
            </w:pPr>
            <w:r>
              <w:t xml:space="preserve">7.48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2.19</w:t>
            </w:r>
          </w:p>
        </w:tc>
        <w:tc>
          <w:tcPr/>
          <w:p>
            <w:pPr>
              <w:pStyle w:val="Compact"/>
              <w:jc w:val="right"/>
            </w:pPr>
            <w:r>
              <w:t xml:space="preserve">0.08</w:t>
            </w:r>
          </w:p>
        </w:tc>
        <w:tc>
          <w:tcPr/>
          <w:p>
            <w:pPr>
              <w:pStyle w:val="Compact"/>
              <w:jc w:val="right"/>
            </w:pPr>
            <w:r>
              <w:t xml:space="preserve">2.04</w:t>
            </w:r>
          </w:p>
        </w:tc>
        <w:tc>
          <w:tcPr/>
          <w:p>
            <w:pPr>
              <w:pStyle w:val="Compact"/>
              <w:jc w:val="right"/>
            </w:pPr>
            <w:r>
              <w:t xml:space="preserve">2.34</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1.07</w:t>
            </w:r>
          </w:p>
        </w:tc>
        <w:tc>
          <w:tcPr/>
          <w:p>
            <w:pPr>
              <w:pStyle w:val="Compact"/>
              <w:jc w:val="right"/>
            </w:pPr>
            <w:r>
              <w:t xml:space="preserve">0.05</w:t>
            </w:r>
          </w:p>
        </w:tc>
        <w:tc>
          <w:tcPr/>
          <w:p>
            <w:pPr>
              <w:pStyle w:val="Compact"/>
              <w:jc w:val="right"/>
            </w:pPr>
            <w:r>
              <w:t xml:space="preserve">0.96</w:t>
            </w:r>
          </w:p>
        </w:tc>
        <w:tc>
          <w:tcPr/>
          <w:p>
            <w:pPr>
              <w:pStyle w:val="Compact"/>
              <w:jc w:val="right"/>
            </w:pPr>
            <w:r>
              <w:t xml:space="preserve">1.18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12.64</w:t>
            </w:r>
          </w:p>
        </w:tc>
        <w:tc>
          <w:tcPr/>
          <w:p>
            <w:pPr>
              <w:pStyle w:val="Compact"/>
              <w:jc w:val="right"/>
            </w:pPr>
            <w:r>
              <w:t xml:space="preserve">0.27</w:t>
            </w:r>
          </w:p>
        </w:tc>
        <w:tc>
          <w:tcPr/>
          <w:p>
            <w:pPr>
              <w:pStyle w:val="Compact"/>
              <w:jc w:val="right"/>
            </w:pPr>
            <w:r>
              <w:t xml:space="preserve">12.11</w:t>
            </w:r>
          </w:p>
        </w:tc>
        <w:tc>
          <w:tcPr/>
          <w:p>
            <w:pPr>
              <w:pStyle w:val="Compact"/>
              <w:jc w:val="right"/>
            </w:pPr>
            <w:r>
              <w:t xml:space="preserve">13.17</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12.69</w:t>
            </w:r>
          </w:p>
        </w:tc>
        <w:tc>
          <w:tcPr/>
          <w:p>
            <w:pPr>
              <w:pStyle w:val="Compact"/>
              <w:jc w:val="right"/>
            </w:pPr>
            <w:r>
              <w:t xml:space="preserve">0.33</w:t>
            </w:r>
          </w:p>
        </w:tc>
        <w:tc>
          <w:tcPr/>
          <w:p>
            <w:pPr>
              <w:pStyle w:val="Compact"/>
              <w:jc w:val="right"/>
            </w:pPr>
            <w:r>
              <w:t xml:space="preserve">12.05</w:t>
            </w:r>
          </w:p>
        </w:tc>
        <w:tc>
          <w:tcPr/>
          <w:p>
            <w:pPr>
              <w:pStyle w:val="Compact"/>
              <w:jc w:val="right"/>
            </w:pPr>
            <w:r>
              <w:t xml:space="preserve">13.33</w:t>
            </w:r>
          </w:p>
        </w:tc>
        <w:tc>
          <w:tcPr/>
          <w:p>
            <w:pPr>
              <w:pStyle w:val="Compact"/>
              <w:jc w:val="right"/>
            </w:pPr>
            <w:r>
              <w:t xml:space="preserve">63,799</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1b.</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7.26</w:t>
            </w:r>
          </w:p>
        </w:tc>
        <w:tc>
          <w:tcPr/>
          <w:p>
            <w:pPr>
              <w:pStyle w:val="Compact"/>
              <w:jc w:val="right"/>
            </w:pPr>
            <w:r>
              <w:t xml:space="preserve">0.15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6.45</w:t>
            </w:r>
          </w:p>
        </w:tc>
        <w:tc>
          <w:tcPr/>
          <w:p>
            <w:pPr>
              <w:pStyle w:val="Compact"/>
              <w:jc w:val="right"/>
            </w:pPr>
            <w:r>
              <w:t xml:space="preserve">0.60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6.65</w:t>
            </w:r>
          </w:p>
        </w:tc>
        <w:tc>
          <w:tcPr/>
          <w:p>
            <w:pPr>
              <w:pStyle w:val="Compact"/>
              <w:jc w:val="right"/>
            </w:pPr>
            <w:r>
              <w:t xml:space="preserve">0.70</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14.20</w:t>
            </w:r>
          </w:p>
        </w:tc>
        <w:tc>
          <w:tcPr/>
          <w:p>
            <w:pPr>
              <w:pStyle w:val="Compact"/>
              <w:jc w:val="right"/>
            </w:pPr>
            <w:r>
              <w:t xml:space="preserve">0.49</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3.95</w:t>
            </w:r>
          </w:p>
        </w:tc>
        <w:tc>
          <w:tcPr/>
          <w:p>
            <w:pPr>
              <w:pStyle w:val="Compact"/>
              <w:jc w:val="right"/>
            </w:pPr>
            <w:r>
              <w:t xml:space="preserve">0.22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8.24</w:t>
            </w:r>
          </w:p>
        </w:tc>
        <w:tc>
          <w:tcPr/>
          <w:p>
            <w:pPr>
              <w:pStyle w:val="Compact"/>
              <w:jc w:val="right"/>
            </w:pPr>
            <w:r>
              <w:t xml:space="preserve">0.18</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5.32</w:t>
            </w:r>
          </w:p>
        </w:tc>
        <w:tc>
          <w:tcPr/>
          <w:p>
            <w:pPr>
              <w:pStyle w:val="Compact"/>
              <w:jc w:val="right"/>
            </w:pPr>
            <w:r>
              <w:t xml:space="preserve">0.16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11.53</w:t>
            </w:r>
          </w:p>
        </w:tc>
        <w:tc>
          <w:tcPr/>
          <w:p>
            <w:pPr>
              <w:pStyle w:val="Compact"/>
              <w:jc w:val="right"/>
            </w:pPr>
            <w:r>
              <w:t xml:space="preserve">0.29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2.15</w:t>
            </w:r>
          </w:p>
        </w:tc>
        <w:tc>
          <w:tcPr/>
          <w:p>
            <w:pPr>
              <w:pStyle w:val="Compact"/>
              <w:jc w:val="right"/>
            </w:pPr>
            <w:r>
              <w:t xml:space="preserve">0.07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2.45</w:t>
            </w:r>
          </w:p>
        </w:tc>
        <w:tc>
          <w:tcPr/>
          <w:p>
            <w:pPr>
              <w:pStyle w:val="Compact"/>
              <w:jc w:val="right"/>
            </w:pPr>
            <w:r>
              <w:t xml:space="preserve">0.41</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2.76</w:t>
            </w:r>
          </w:p>
        </w:tc>
        <w:tc>
          <w:tcPr/>
          <w:p>
            <w:pPr>
              <w:pStyle w:val="Compact"/>
              <w:jc w:val="right"/>
            </w:pPr>
            <w:r>
              <w:t xml:space="preserve">0.51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6.57</w:t>
            </w:r>
          </w:p>
        </w:tc>
        <w:tc>
          <w:tcPr/>
          <w:p>
            <w:pPr>
              <w:pStyle w:val="Compact"/>
              <w:jc w:val="right"/>
            </w:pPr>
            <w:r>
              <w:t xml:space="preserve">0.36</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1.13</w:t>
            </w:r>
          </w:p>
        </w:tc>
        <w:tc>
          <w:tcPr/>
          <w:p>
            <w:pPr>
              <w:pStyle w:val="Compact"/>
              <w:jc w:val="right"/>
            </w:pPr>
            <w:r>
              <w:t xml:space="preserve">0.12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2.53</w:t>
            </w:r>
          </w:p>
        </w:tc>
        <w:tc>
          <w:tcPr/>
          <w:p>
            <w:pPr>
              <w:pStyle w:val="Compact"/>
              <w:jc w:val="right"/>
            </w:pPr>
            <w:r>
              <w:t xml:space="preserve">0.09</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1.60</w:t>
            </w:r>
          </w:p>
        </w:tc>
        <w:tc>
          <w:tcPr/>
          <w:p>
            <w:pPr>
              <w:pStyle w:val="Compact"/>
              <w:jc w:val="right"/>
            </w:pPr>
            <w:r>
              <w:t xml:space="preserve">0.08</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3.57</w:t>
            </w:r>
          </w:p>
        </w:tc>
        <w:tc>
          <w:tcPr/>
          <w:p>
            <w:pPr>
              <w:pStyle w:val="Compact"/>
              <w:jc w:val="right"/>
            </w:pPr>
            <w:r>
              <w:t xml:space="preserve">0.16</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1.04</w:t>
            </w:r>
          </w:p>
        </w:tc>
        <w:tc>
          <w:tcPr/>
          <w:p>
            <w:pPr>
              <w:pStyle w:val="Compact"/>
              <w:jc w:val="right"/>
            </w:pPr>
            <w:r>
              <w:t xml:space="preserve">0.05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1.36</w:t>
            </w:r>
          </w:p>
        </w:tc>
        <w:tc>
          <w:tcPr/>
          <w:p>
            <w:pPr>
              <w:pStyle w:val="Compact"/>
              <w:jc w:val="right"/>
            </w:pPr>
            <w:r>
              <w:t xml:space="preserve">0.30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1.39</w:t>
            </w:r>
          </w:p>
        </w:tc>
        <w:tc>
          <w:tcPr/>
          <w:p>
            <w:pPr>
              <w:pStyle w:val="Compact"/>
              <w:jc w:val="right"/>
            </w:pPr>
            <w:r>
              <w:t xml:space="preserve">0.37</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3.92</w:t>
            </w:r>
          </w:p>
        </w:tc>
        <w:tc>
          <w:tcPr/>
          <w:p>
            <w:pPr>
              <w:pStyle w:val="Compact"/>
              <w:jc w:val="right"/>
            </w:pPr>
            <w:r>
              <w:t xml:space="preserve">0.28</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0.51</w:t>
            </w:r>
          </w:p>
        </w:tc>
        <w:tc>
          <w:tcPr/>
          <w:p>
            <w:pPr>
              <w:pStyle w:val="Compact"/>
              <w:jc w:val="right"/>
            </w:pPr>
            <w:r>
              <w:t xml:space="preserve">0.09</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1.25</w:t>
            </w:r>
          </w:p>
        </w:tc>
        <w:tc>
          <w:tcPr/>
          <w:p>
            <w:pPr>
              <w:pStyle w:val="Compact"/>
              <w:jc w:val="right"/>
            </w:pPr>
            <w:r>
              <w:t xml:space="preserve">0.06</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0.81</w:t>
            </w:r>
          </w:p>
        </w:tc>
        <w:tc>
          <w:tcPr/>
          <w:p>
            <w:pPr>
              <w:pStyle w:val="Compact"/>
              <w:jc w:val="right"/>
            </w:pPr>
            <w:r>
              <w:t xml:space="preserve">0.06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1.68</w:t>
            </w:r>
          </w:p>
        </w:tc>
        <w:tc>
          <w:tcPr/>
          <w:p>
            <w:pPr>
              <w:pStyle w:val="Compact"/>
              <w:jc w:val="right"/>
            </w:pPr>
            <w:r>
              <w:t xml:space="preserve">0.09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12.30</w:t>
            </w:r>
          </w:p>
        </w:tc>
        <w:tc>
          <w:tcPr/>
          <w:p>
            <w:pPr>
              <w:pStyle w:val="Compact"/>
              <w:jc w:val="right"/>
            </w:pPr>
            <w:r>
              <w:t xml:space="preserve">0.27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16.21</w:t>
            </w:r>
          </w:p>
        </w:tc>
        <w:tc>
          <w:tcPr/>
          <w:p>
            <w:pPr>
              <w:pStyle w:val="Compact"/>
              <w:jc w:val="right"/>
            </w:pPr>
            <w:r>
              <w:t xml:space="preserve">0.77</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14.61</w:t>
            </w:r>
          </w:p>
        </w:tc>
        <w:tc>
          <w:tcPr/>
          <w:p>
            <w:pPr>
              <w:pStyle w:val="Compact"/>
              <w:jc w:val="right"/>
            </w:pPr>
            <w:r>
              <w:t xml:space="preserve">1.06</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76.63</w:t>
            </w:r>
          </w:p>
        </w:tc>
        <w:tc>
          <w:tcPr/>
          <w:p>
            <w:pPr>
              <w:pStyle w:val="Compact"/>
              <w:jc w:val="right"/>
            </w:pPr>
            <w:r>
              <w:t xml:space="preserve">0.73</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9.08</w:t>
            </w:r>
          </w:p>
        </w:tc>
        <w:tc>
          <w:tcPr/>
          <w:p>
            <w:pPr>
              <w:pStyle w:val="Compact"/>
              <w:jc w:val="right"/>
            </w:pPr>
            <w:r>
              <w:t xml:space="preserve">0.35</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13.79</w:t>
            </w:r>
          </w:p>
        </w:tc>
        <w:tc>
          <w:tcPr/>
          <w:p>
            <w:pPr>
              <w:pStyle w:val="Compact"/>
              <w:jc w:val="right"/>
            </w:pPr>
            <w:r>
              <w:t xml:space="preserve">0.31</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11.55</w:t>
            </w:r>
          </w:p>
        </w:tc>
        <w:tc>
          <w:tcPr/>
          <w:p>
            <w:pPr>
              <w:pStyle w:val="Compact"/>
              <w:jc w:val="right"/>
            </w:pPr>
            <w:r>
              <w:t xml:space="preserve">0.31</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15.19</w:t>
            </w:r>
          </w:p>
        </w:tc>
        <w:tc>
          <w:tcPr/>
          <w:p>
            <w:pPr>
              <w:pStyle w:val="Compact"/>
              <w:jc w:val="right"/>
            </w:pPr>
            <w:r>
              <w:t xml:space="preserve">0.38</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11.89</w:t>
            </w:r>
          </w:p>
        </w:tc>
        <w:tc>
          <w:tcPr/>
          <w:p>
            <w:pPr>
              <w:pStyle w:val="Compact"/>
              <w:jc w:val="right"/>
            </w:pPr>
            <w:r>
              <w:t xml:space="preserve">0.31</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17.41</w:t>
            </w:r>
          </w:p>
        </w:tc>
        <w:tc>
          <w:tcPr/>
          <w:p>
            <w:pPr>
              <w:pStyle w:val="Compact"/>
              <w:jc w:val="right"/>
            </w:pPr>
            <w:r>
              <w:t xml:space="preserve">0.83</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24.12</w:t>
            </w:r>
          </w:p>
        </w:tc>
        <w:tc>
          <w:tcPr/>
          <w:p>
            <w:pPr>
              <w:pStyle w:val="Compact"/>
              <w:jc w:val="right"/>
            </w:pPr>
            <w:r>
              <w:t xml:space="preserve">1.41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13.54</w:t>
            </w:r>
          </w:p>
        </w:tc>
        <w:tc>
          <w:tcPr/>
          <w:p>
            <w:pPr>
              <w:pStyle w:val="Compact"/>
              <w:jc w:val="right"/>
            </w:pPr>
            <w:r>
              <w:t xml:space="preserve">0.51</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12.41</w:t>
            </w:r>
          </w:p>
        </w:tc>
        <w:tc>
          <w:tcPr/>
          <w:p>
            <w:pPr>
              <w:pStyle w:val="Compact"/>
              <w:jc w:val="right"/>
            </w:pPr>
            <w:r>
              <w:t xml:space="preserve">0.34</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13.38</w:t>
            </w:r>
          </w:p>
        </w:tc>
        <w:tc>
          <w:tcPr/>
          <w:p>
            <w:pPr>
              <w:pStyle w:val="Compact"/>
              <w:jc w:val="right"/>
            </w:pPr>
            <w:r>
              <w:t xml:space="preserve">0.39</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11.07</w:t>
            </w:r>
          </w:p>
        </w:tc>
        <w:tc>
          <w:tcPr/>
          <w:p>
            <w:pPr>
              <w:pStyle w:val="Compact"/>
              <w:jc w:val="right"/>
            </w:pPr>
            <w:r>
              <w:t xml:space="preserve">0.36</w:t>
            </w:r>
          </w:p>
        </w:tc>
        <w:tc>
          <w:tcPr/>
          <w:p>
            <w:pPr>
              <w:pStyle w:val="Compact"/>
              <w:jc w:val="right"/>
            </w:pPr>
            <w:r>
              <w:t xml:space="preserve">23,485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2.</w:t>
      </w:r>
      <w:r>
        <w:t xml:space="preserve"> </w:t>
      </w:r>
      <w:r>
        <w:t xml:space="preserve">The burden distribution, quantile by quantile.</w:t>
      </w:r>
    </w:p>
    <w:p>
      <w:pPr>
        <w:pStyle w:val="BodyText"/>
      </w:pPr>
      <w:r>
        <w:rPr>
          <w:i/>
          <w:iCs/>
        </w:rPr>
        <w:t xml:space="preserve">The ratio is Nigeria over the United States. It falls steadily above the 75th percentile, which is the paper’s central observation.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Quantile</w:t>
            </w:r>
          </w:p>
        </w:tc>
        <w:tc>
          <w:tcPr/>
          <w:p>
            <w:pPr>
              <w:pStyle w:val="Compact"/>
              <w:jc w:val="right"/>
            </w:pPr>
            <w:r>
              <w:t xml:space="preserve">United States %</w:t>
            </w:r>
          </w:p>
        </w:tc>
        <w:tc>
          <w:tcPr/>
          <w:p>
            <w:pPr>
              <w:pStyle w:val="Compact"/>
              <w:jc w:val="right"/>
            </w:pPr>
            <w:r>
              <w:t xml:space="preserve">Nigeria %</w:t>
            </w:r>
          </w:p>
        </w:tc>
        <w:tc>
          <w:tcPr/>
          <w:p>
            <w:pPr>
              <w:pStyle w:val="Compact"/>
              <w:jc w:val="right"/>
            </w:pPr>
            <w:r>
              <w:t xml:space="preserve">Ratio NG / US</w:t>
            </w:r>
          </w:p>
        </w:tc>
        <w:tc>
          <w:tcPr/>
          <w:p>
            <w:pPr>
              <w:pStyle w:val="Compact"/>
              <w:jc w:val="right"/>
            </w:pPr>
            <w:r>
              <w:t xml:space="preserve">Gap (pp)</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0.83</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3.56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8.44</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11.45</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6.06</w:t>
            </w:r>
          </w:p>
        </w:tc>
      </w:tr>
    </w:tbl>
    <w:p>
      <w:pPr>
        <w:pStyle w:val="BodyText"/>
      </w:pPr>
      <w:r>
        <w:rPr>
          <w:b/>
          <w:bCs/>
        </w:rPr>
        <w:t xml:space="preserve">Table 3.</w:t>
      </w:r>
      <w:r>
        <w:t xml:space="preserve"> </w:t>
      </w:r>
      <w:r>
        <w:t xml:space="preserve">Tail-risk measures of the out-of-pocket burden.</w:t>
      </w:r>
    </w:p>
    <w:p>
      <w:pPr>
        <w:pStyle w:val="BodyText"/>
      </w:pPr>
      <w:r>
        <w:rPr>
          <w:i/>
          <w:iCs/>
        </w:rPr>
        <w:t xml:space="preserve">VaR is the quantile of the burden distribution; CVaR is the mean burden at or above it. ξ is the generalised Pareto shape fitted by weighted maximum likelihood to exceedances over the 90th percentile, with intervals from a bootstrap over primary sampling units within strata. ξ &gt; 0.5 implies infinite variance.</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ξ</w:t>
            </w:r>
          </w:p>
        </w:tc>
        <w:tc>
          <w:tcPr/>
          <w:p>
            <w:pPr>
              <w:pStyle w:val="Compact"/>
              <w:jc w:val="right"/>
            </w:pPr>
            <w:r>
              <w:t xml:space="preserve">ξ low</w:t>
            </w:r>
          </w:p>
        </w:tc>
        <w:tc>
          <w:tcPr/>
          <w:p>
            <w:pPr>
              <w:pStyle w:val="Compact"/>
              <w:jc w:val="right"/>
            </w:pPr>
            <w:r>
              <w:t xml:space="preserve">ξ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39.16</w:t>
            </w:r>
          </w:p>
        </w:tc>
        <w:tc>
          <w:tcPr/>
          <w:p>
            <w:pPr>
              <w:pStyle w:val="Compact"/>
              <w:jc w:val="right"/>
            </w:pPr>
            <w:r>
              <w:t xml:space="preserve">47.82</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+0.625</w:t>
            </w:r>
          </w:p>
        </w:tc>
        <w:tc>
          <w:tcPr/>
          <w:p>
            <w:pPr>
              <w:pStyle w:val="Compact"/>
              <w:jc w:val="right"/>
            </w:pPr>
            <w:r>
              <w:t xml:space="preserve">+0.718</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38.70</w:t>
            </w:r>
          </w:p>
        </w:tc>
        <w:tc>
          <w:tcPr/>
          <w:p>
            <w:pPr>
              <w:pStyle w:val="Compact"/>
              <w:jc w:val="right"/>
            </w:pPr>
            <w:r>
              <w:t xml:space="preserve">47.62</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+0.615</w:t>
            </w:r>
          </w:p>
        </w:tc>
        <w:tc>
          <w:tcPr/>
          <w:p>
            <w:pPr>
              <w:pStyle w:val="Compact"/>
              <w:jc w:val="right"/>
            </w:pPr>
            <w:r>
              <w:t xml:space="preserve">+0.709</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36.28</w:t>
            </w:r>
          </w:p>
        </w:tc>
        <w:tc>
          <w:tcPr/>
          <w:p>
            <w:pPr>
              <w:pStyle w:val="Compact"/>
              <w:jc w:val="right"/>
            </w:pPr>
            <w:r>
              <w:t xml:space="preserve">64.26</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+0.575</w:t>
            </w:r>
          </w:p>
        </w:tc>
        <w:tc>
          <w:tcPr/>
          <w:p>
            <w:pPr>
              <w:pStyle w:val="Compact"/>
              <w:jc w:val="right"/>
            </w:pPr>
            <w:r>
              <w:t xml:space="preserve">+0.880</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33.87</w:t>
            </w:r>
          </w:p>
        </w:tc>
        <w:tc>
          <w:tcPr/>
          <w:p>
            <w:pPr>
              <w:pStyle w:val="Compact"/>
              <w:jc w:val="right"/>
            </w:pPr>
            <w:r>
              <w:t xml:space="preserve">51.35</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+0.391</w:t>
            </w:r>
          </w:p>
        </w:tc>
        <w:tc>
          <w:tcPr/>
          <w:p>
            <w:pPr>
              <w:pStyle w:val="Compact"/>
              <w:jc w:val="right"/>
            </w:pPr>
            <w:r>
              <w:t xml:space="preserve">+0.848</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98.67</w:t>
            </w:r>
          </w:p>
        </w:tc>
        <w:tc>
          <w:tcPr/>
          <w:p>
            <w:pPr>
              <w:pStyle w:val="Compact"/>
              <w:jc w:val="right"/>
            </w:pPr>
            <w:r>
              <w:t xml:space="preserve">157.87</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+0.594</w:t>
            </w:r>
          </w:p>
        </w:tc>
        <w:tc>
          <w:tcPr/>
          <w:p>
            <w:pPr>
              <w:pStyle w:val="Compact"/>
              <w:jc w:val="right"/>
            </w:pPr>
            <w:r>
              <w:t xml:space="preserve">+0.832</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43.77</w:t>
            </w:r>
          </w:p>
        </w:tc>
        <w:tc>
          <w:tcPr/>
          <w:p>
            <w:pPr>
              <w:pStyle w:val="Compact"/>
              <w:jc w:val="right"/>
            </w:pPr>
            <w:r>
              <w:t xml:space="preserve">55.55</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+0.626</w:t>
            </w:r>
          </w:p>
        </w:tc>
        <w:tc>
          <w:tcPr/>
          <w:p>
            <w:pPr>
              <w:pStyle w:val="Compact"/>
              <w:jc w:val="right"/>
            </w:pPr>
            <w:r>
              <w:t xml:space="preserve">+0.728</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49.45</w:t>
            </w:r>
          </w:p>
        </w:tc>
        <w:tc>
          <w:tcPr/>
          <w:p>
            <w:pPr>
              <w:pStyle w:val="Compact"/>
              <w:jc w:val="right"/>
            </w:pPr>
            <w:r>
              <w:t xml:space="preserve">58.72</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+0.574</w:t>
            </w:r>
          </w:p>
        </w:tc>
        <w:tc>
          <w:tcPr/>
          <w:p>
            <w:pPr>
              <w:pStyle w:val="Compact"/>
              <w:jc w:val="right"/>
            </w:pPr>
            <w:r>
              <w:t xml:space="preserve">+0.711</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35.59</w:t>
            </w:r>
          </w:p>
        </w:tc>
        <w:tc>
          <w:tcPr/>
          <w:p>
            <w:pPr>
              <w:pStyle w:val="Compact"/>
              <w:jc w:val="right"/>
            </w:pPr>
            <w:r>
              <w:t xml:space="preserve">40.95</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-0.063</w:t>
            </w:r>
          </w:p>
        </w:tc>
        <w:tc>
          <w:tcPr/>
          <w:p>
            <w:pPr>
              <w:pStyle w:val="Compact"/>
              <w:jc w:val="right"/>
            </w:pPr>
            <w:r>
              <w:t xml:space="preserve">+0.205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36.65</w:t>
            </w:r>
          </w:p>
        </w:tc>
        <w:tc>
          <w:tcPr/>
          <w:p>
            <w:pPr>
              <w:pStyle w:val="Compact"/>
              <w:jc w:val="right"/>
            </w:pPr>
            <w:r>
              <w:t xml:space="preserve">43.71</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+0.228</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24.35</w:t>
            </w:r>
          </w:p>
        </w:tc>
        <w:tc>
          <w:tcPr/>
          <w:p>
            <w:pPr>
              <w:pStyle w:val="Compact"/>
              <w:jc w:val="right"/>
            </w:pPr>
            <w:r>
              <w:t xml:space="preserve">34.14</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-0.384</w:t>
            </w:r>
          </w:p>
        </w:tc>
        <w:tc>
          <w:tcPr/>
          <w:p>
            <w:pPr>
              <w:pStyle w:val="Compact"/>
              <w:jc w:val="right"/>
            </w:pPr>
            <w:r>
              <w:t xml:space="preserve">+0.440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28.78</w:t>
            </w:r>
          </w:p>
        </w:tc>
        <w:tc>
          <w:tcPr/>
          <w:p>
            <w:pPr>
              <w:pStyle w:val="Compact"/>
              <w:jc w:val="right"/>
            </w:pPr>
            <w:r>
              <w:t xml:space="preserve">41.06</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-0.432</w:t>
            </w:r>
          </w:p>
        </w:tc>
        <w:tc>
          <w:tcPr/>
          <w:p>
            <w:pPr>
              <w:pStyle w:val="Compact"/>
              <w:jc w:val="right"/>
            </w:pPr>
            <w:r>
              <w:t xml:space="preserve">+0.222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40.52</w:t>
            </w:r>
          </w:p>
        </w:tc>
        <w:tc>
          <w:tcPr/>
          <w:p>
            <w:pPr>
              <w:pStyle w:val="Compact"/>
              <w:jc w:val="right"/>
            </w:pPr>
            <w:r>
              <w:t xml:space="preserve">54.37</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-0.367</w:t>
            </w:r>
          </w:p>
        </w:tc>
        <w:tc>
          <w:tcPr/>
          <w:p>
            <w:pPr>
              <w:pStyle w:val="Compact"/>
              <w:jc w:val="right"/>
            </w:pPr>
            <w:r>
              <w:t xml:space="preserve">+0.257</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36.25</w:t>
            </w:r>
          </w:p>
        </w:tc>
        <w:tc>
          <w:tcPr/>
          <w:p>
            <w:pPr>
              <w:pStyle w:val="Compact"/>
              <w:jc w:val="right"/>
            </w:pPr>
            <w:r>
              <w:t xml:space="preserve">44.86</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-0.165</w:t>
            </w:r>
          </w:p>
        </w:tc>
        <w:tc>
          <w:tcPr/>
          <w:p>
            <w:pPr>
              <w:pStyle w:val="Compact"/>
              <w:jc w:val="right"/>
            </w:pPr>
            <w:r>
              <w:t xml:space="preserve">+0.129</w:t>
            </w:r>
          </w:p>
        </w:tc>
      </w:tr>
    </w:tbl>
    <w:p>
      <w:pPr>
        <w:pStyle w:val="BodyText"/>
      </w:pPr>
      <w:r>
        <w:rPr>
          <w:b/>
          <w:bCs/>
        </w:rPr>
        <w:t xml:space="preserve">Table 4.</w:t>
      </w:r>
      <w:r>
        <w:t xml:space="preserve"> </w:t>
      </w:r>
      <w:r>
        <w:t xml:space="preserve">Parity: US families already at Nigerian burden levels.</w:t>
      </w:r>
    </w:p>
    <w:p>
      <w:pPr>
        <w:pStyle w:val="BodyText"/>
      </w:pPr>
      <w:r>
        <w:rPr>
          <w:i/>
          <w:iCs/>
        </w:rPr>
        <w:t xml:space="preserve">The reference is the Nigerian informal household at the stated quantile of its own burden distribution.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bl>
    <w:p>
      <w:pPr>
        <w:pStyle w:val="BodyText"/>
      </w:pPr>
      <w:r>
        <w:rPr>
          <w:b/>
          <w:bCs/>
        </w:rPr>
        <w:t xml:space="preserve">Table 5.</w:t>
      </w:r>
      <w:r>
        <w:t xml:space="preserve"> </w:t>
      </w:r>
      <w:r>
        <w:t xml:space="preserve">Crossover: where the US burden overtakes the Nigerian one at the same percentile.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Crossover percentile</w:t>
            </w:r>
          </w:p>
        </w:tc>
        <w:tc>
          <w:tcPr/>
          <w:p>
            <w:pPr>
              <w:pStyle w:val="Compact"/>
              <w:jc w:val="right"/>
            </w:pPr>
            <w:r>
              <w:t xml:space="preserve">Burden there %</w:t>
            </w:r>
          </w:p>
        </w:tc>
      </w:tr>
      <w:tr>
        <w:tc>
          <w:tcPr/>
          <w:p>
            <w:pPr>
              <w:pStyle w:val="Compact"/>
            </w:pPr>
            <w:r>
              <w:t xml:space="preserve">All US families</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All US families</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Insured all year</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Insured all year</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Partly uninsured</w:t>
            </w:r>
          </w:p>
        </w:tc>
        <w:tc>
          <w:tcPr/>
          <w:p>
            <w:pPr>
              <w:pStyle w:val="Compact"/>
              <w:jc w:val="right"/>
            </w:pPr>
            <w:r>
              <w:t xml:space="preserve">All Nigerian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Partly uninsured</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Uninsured all year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40.76</w:t>
            </w:r>
          </w:p>
        </w:tc>
      </w:tr>
      <w:tr>
        <w:tc>
          <w:tcPr/>
          <w:p>
            <w:pPr>
              <w:pStyle w:val="Compact"/>
            </w:pPr>
            <w:r>
              <w:t xml:space="preserve">Uninsured all year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57.62</w:t>
            </w:r>
          </w:p>
        </w:tc>
      </w:tr>
      <w:tr>
        <w:tc>
          <w:tcPr/>
          <w:p>
            <w:pPr>
              <w:pStyle w:val="Compact"/>
            </w:pPr>
            <w:r>
              <w:t xml:space="preserve">Poor or near poor</w:t>
            </w:r>
          </w:p>
        </w:tc>
        <w:tc>
          <w:tcPr/>
          <w:p>
            <w:pPr>
              <w:pStyle w:val="Compact"/>
              <w:jc w:val="right"/>
            </w:pPr>
            <w:r>
              <w:t xml:space="preserve">All Nigerian households</w:t>
            </w:r>
          </w:p>
        </w:tc>
        <w:tc>
          <w:tcPr/>
          <w:p>
            <w:pPr>
              <w:pStyle w:val="Compact"/>
              <w:jc w:val="right"/>
            </w:pPr>
            <w:r>
              <w:t xml:space="preserve">84.5</w:t>
            </w:r>
          </w:p>
        </w:tc>
        <w:tc>
          <w:tcPr/>
          <w:p>
            <w:pPr>
              <w:pStyle w:val="Compact"/>
              <w:jc w:val="right"/>
            </w:pPr>
            <w:r>
              <w:t xml:space="preserve">11.28</w:t>
            </w:r>
          </w:p>
        </w:tc>
      </w:tr>
      <w:tr>
        <w:tc>
          <w:tcPr/>
          <w:p>
            <w:pPr>
              <w:pStyle w:val="Compact"/>
            </w:pPr>
            <w:r>
              <w:t xml:space="preserve">Poor or near poor</w:t>
            </w:r>
          </w:p>
        </w:tc>
        <w:tc>
          <w:tcPr/>
          <w:p>
            <w:pPr>
              <w:pStyle w:val="Compact"/>
              <w:jc w:val="right"/>
            </w:pPr>
            <w:r>
              <w:t xml:space="preserve">Nigerian informal households</w:t>
            </w:r>
          </w:p>
        </w:tc>
        <w:tc>
          <w:tcPr/>
          <w:p>
            <w:pPr>
              <w:pStyle w:val="Compact"/>
              <w:jc w:val="right"/>
            </w:pPr>
            <w:r>
              <w:t xml:space="preserve">85.0</w:t>
            </w:r>
          </w:p>
        </w:tc>
        <w:tc>
          <w:tcPr/>
          <w:p>
            <w:pPr>
              <w:pStyle w:val="Compact"/>
              <w:jc w:val="right"/>
            </w:pPr>
            <w:r>
              <w:t xml:space="preserve">11.89</w:t>
            </w:r>
          </w:p>
        </w:tc>
      </w:tr>
      <w:tr>
        <w:tc>
          <w:tcPr/>
          <w:p>
            <w:pPr>
              <w:pStyle w:val="Compact"/>
            </w:pPr>
            <w:r>
              <w:t xml:space="preserve">Chronic condition</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Chronic condition</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Elderly member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43.68</w:t>
            </w:r>
          </w:p>
        </w:tc>
      </w:tr>
      <w:tr>
        <w:tc>
          <w:tcPr/>
          <w:p>
            <w:pPr>
              <w:pStyle w:val="Compact"/>
            </w:pPr>
            <w:r>
              <w:t xml:space="preserve">Elderly member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59.27</w:t>
            </w:r>
          </w:p>
        </w:tc>
      </w:tr>
    </w:tbl>
    <w:p>
      <w:pPr>
        <w:pStyle w:val="BodyText"/>
      </w:pPr>
      <w:r>
        <w:rPr>
          <w:b/>
          <w:bCs/>
        </w:rPr>
        <w:t xml:space="preserve">Table 6.</w:t>
      </w:r>
      <w:r>
        <w:t xml:space="preserve"> </w:t>
      </w:r>
      <w:r>
        <w:t xml:space="preserve">Burden quantiles by group, both countries.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bookmarkEnd w:id="47"/>
    <w:bookmarkStart w:id="48" w:name="appendix-tables"/>
    <w:p>
      <w:pPr>
        <w:pStyle w:val="Heading1"/>
      </w:pPr>
      <w:r>
        <w:t xml:space="preserve">Appendix tables</w:t>
      </w:r>
    </w:p>
    <w:p>
      <w:pPr>
        <w:pStyle w:val="FirstParagraph"/>
      </w:pPr>
      <w:r>
        <w:rPr>
          <w:b/>
          <w:bCs/>
        </w:rPr>
        <w:t xml:space="preserve">Table A1.</w:t>
      </w:r>
      <w:r>
        <w:t xml:space="preserve"> </w:t>
      </w:r>
      <w:r>
        <w:t xml:space="preserve">Validating the US build: the federal poverty threshold reconstructed from family income and the published income-to-poverty ratio.</w:t>
      </w:r>
    </w:p>
    <w:p>
      <w:pPr>
        <w:pStyle w:val="BodyText"/>
      </w:pPr>
      <w:r>
        <w:rPr>
          <w:i/>
          <w:iCs/>
        </w:rPr>
        <w:t xml:space="preserve">An independent check on both the deflation and the income variable, neither of which is used to produce the guideline it is compared against.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Published 2024 guideline</w:t>
            </w:r>
          </w:p>
        </w:tc>
      </w:tr>
      <w:tr>
        <w:tc>
          <w:tcPr/>
          <w:p>
            <w:pPr>
              <w:pStyle w:val="Compact"/>
            </w:pPr>
            <w:r>
              <w:t xml:space="preserve">1</w:t>
            </w:r>
          </w:p>
        </w:tc>
        <w:tc>
          <w:tcPr/>
          <w:p>
            <w:pPr>
              <w:pStyle w:val="Compact"/>
              <w:jc w:val="right"/>
            </w:pPr>
            <w:r>
              <w:t xml:space="preserve">$16,319</w:t>
            </w:r>
          </w:p>
        </w:tc>
        <w:tc>
          <w:tcPr/>
          <w:p>
            <w:pPr>
              <w:pStyle w:val="Compact"/>
              <w:jc w:val="right"/>
            </w:pPr>
            <w:r>
              <w:t xml:space="preserve">$15,060</w:t>
            </w:r>
          </w:p>
        </w:tc>
      </w:tr>
      <w:tr>
        <w:tc>
          <w:tcPr/>
          <w:p>
            <w:pPr>
              <w:pStyle w:val="Compact"/>
            </w:pPr>
            <w:r>
              <w:t xml:space="preserve">2</w:t>
            </w:r>
          </w:p>
        </w:tc>
        <w:tc>
          <w:tcPr/>
          <w:p>
            <w:pPr>
              <w:pStyle w:val="Compact"/>
              <w:jc w:val="right"/>
            </w:pPr>
            <w:r>
              <w:t xml:space="preserve">$21,004</w:t>
            </w:r>
          </w:p>
        </w:tc>
        <w:tc>
          <w:tcPr/>
          <w:p>
            <w:pPr>
              <w:pStyle w:val="Compact"/>
              <w:jc w:val="right"/>
            </w:pPr>
            <w:r>
              <w:t xml:space="preserve">$20,440</w:t>
            </w:r>
          </w:p>
        </w:tc>
      </w:tr>
      <w:tr>
        <w:tc>
          <w:tcPr/>
          <w:p>
            <w:pPr>
              <w:pStyle w:val="Compact"/>
            </w:pPr>
            <w:r>
              <w:t xml:space="preserve">3</w:t>
            </w:r>
          </w:p>
        </w:tc>
        <w:tc>
          <w:tcPr/>
          <w:p>
            <w:pPr>
              <w:pStyle w:val="Compact"/>
              <w:jc w:val="right"/>
            </w:pPr>
            <w:r>
              <w:t xml:space="preserve">$25,248</w:t>
            </w:r>
          </w:p>
        </w:tc>
        <w:tc>
          <w:tcPr/>
          <w:p>
            <w:pPr>
              <w:pStyle w:val="Compact"/>
              <w:jc w:val="right"/>
            </w:pPr>
            <w:r>
              <w:t xml:space="preserve">$25,820</w:t>
            </w:r>
          </w:p>
        </w:tc>
      </w:tr>
      <w:tr>
        <w:tc>
          <w:tcPr/>
          <w:p>
            <w:pPr>
              <w:pStyle w:val="Compact"/>
            </w:pPr>
            <w:r>
              <w:t xml:space="preserve">4</w:t>
            </w:r>
          </w:p>
        </w:tc>
        <w:tc>
          <w:tcPr/>
          <w:p>
            <w:pPr>
              <w:pStyle w:val="Compact"/>
              <w:jc w:val="right"/>
            </w:pPr>
            <w:r>
              <w:t xml:space="preserve">$31,812</w:t>
            </w:r>
          </w:p>
        </w:tc>
        <w:tc>
          <w:tcPr/>
          <w:p>
            <w:pPr>
              <w:pStyle w:val="Compact"/>
              <w:jc w:val="right"/>
            </w:pPr>
            <w:r>
              <w:t xml:space="preserve">$31,200</w:t>
            </w:r>
          </w:p>
        </w:tc>
      </w:tr>
    </w:tbl>
    <w:p>
      <w:pPr>
        <w:pStyle w:val="BodyText"/>
      </w:pPr>
      <w:r>
        <w:rPr>
          <w:b/>
          <w:bCs/>
        </w:rPr>
        <w:t xml:space="preserve">Table A2.</w:t>
      </w:r>
      <w:r>
        <w:t xml:space="preserve"> </w:t>
      </w:r>
      <w:r>
        <w:t xml:space="preserve">Generalised Pareto shape across thresholds.</w:t>
      </w:r>
    </w:p>
    <w:p>
      <w:pPr>
        <w:pStyle w:val="BodyText"/>
      </w:pPr>
      <w:r>
        <w:rPr>
          <w:i/>
          <w:iCs/>
        </w:rPr>
        <w:t xml:space="preserve">ξ is threshold-sensitive by construction, so the whole grid is reported rather than a single fit. The US-Nigeria separation holds at every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r>
    </w:tbl>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2026-09-13T18:36:07Z</dcterms:created>
  <dcterms:modified xsi:type="dcterms:W3CDTF">2026-09-13T18:36:07Z</dcterms:modified>
</cp:coreProperties>
</file>

<file path=docProps/custom.xml><?xml version="1.0" encoding="utf-8"?>
<Properties xmlns="http://schemas.openxmlformats.org/officeDocument/2006/custom-properties" xmlns:vt="http://schemas.openxmlformats.org/officeDocument/2006/docPropsVTypes"/>
</file>