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9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The capacity-to-pay comparison (39.5% against 12.6%) turns out not to be robust and we do not rest anything on it.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Unconditional quantile regressions show poverty raising the 95th percentile of burden by 25.2 percentage points in the United States and</w:t>
      </w:r>
      <w:r>
        <w:t xml:space="preserve"> </w:t>
      </w:r>
      <w:r>
        <w:rPr>
          <w:i/>
          <w:iCs/>
        </w:rPr>
        <w:t xml:space="preserve">lowering</w:t>
      </w:r>
      <w:r>
        <w:t xml:space="preserve"> </w:t>
      </w:r>
      <w:r>
        <w:t xml:space="preserve">it by 8.2 points in Nigeria — the censoring mechanism in a coefficient.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insures roughly nine families in ten for a full year — 89.8% in the data used here — and spends more per head on health than any other country.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an application of extreme-value tail estimation to household health-cost burden in a cross-country comparison — we have not found a prior one —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Baird (2016b) is the closest antecedent to this paper’s design, comparing the United States with Canada on harmonised 2010 survey data and finding the risk of large medical expenses 1.5 to 4 times higher in the United States depending on the group and threshold, with the United States comparing least favourably for poorer citizens. That last point anticipates our own result, in a comparison between two high-income systems rather than across the income spectrum, and without tail estimation. Bernard, Selden and Fang (2023) examine the joint distribution of high out-of-pocket burdens, medical debt and financial barriers to care — the three do not have to coincide, and the distinction matters here: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come closest to the framing adopted here. Studying Americans aged 55 and over in the Health and Retirement Study, they report a median out-of-pocket outlay of $6,328 in the last year of life against more than $62,040 for the top 5% — a tenfold gap between the middle and the tail of the same distribution — and find that the top 10% of spenders account for 42% of all spending. They stop short of estimating the tail’s shape, which is what an extreme-value approach adds.</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4"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appears to widen:</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 That comparison should not be relied on. It depends almost entirely on where the subsistence floor is drawn, and Section 5.7 shows the Nigerian rate falling to 10.8% — statistical parity with the United States — under the food-share floor Xu et al. originally proposed. The harmonised poverty-line floor counts every household below the line as catastrophic whenever it spends anything, and half of Nigeria is below the line. The budget-share comparison and the tail results carry no such sensitivity.</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Start w:id="41" w:name="what-drives-the-upper-tail-rq4"/>
    <w:p>
      <w:pPr>
        <w:pStyle w:val="Heading3"/>
      </w:pPr>
      <w:r>
        <w:t xml:space="preserve">5.6 What drives the upper tail (RQ4)</w:t>
      </w:r>
    </w:p>
    <w:p>
      <w:pPr>
        <w:pStyle w:val="FirstParagraph"/>
      </w:pPr>
      <w:r>
        <w:t xml:space="preserve">Table 7 reports unconditional quantile regressions (Firpo, Fortin and Lemieux 2009) of burden on matched household characteristics, estimated at the 50th, 75th, 90th and 95th percentiles with standard errors clustered on the stratum-PSU pair. The coefficient is the effect of a marginal shift in the covariate on that percentile of the</w:t>
      </w:r>
      <w:r>
        <w:t xml:space="preserve"> </w:t>
      </w:r>
      <w:r>
        <w:rPr>
          <w:i/>
          <w:iCs/>
        </w:rPr>
        <w:t xml:space="preserve">population</w:t>
      </w:r>
      <w:r>
        <w:t xml:space="preserve"> </w:t>
      </w:r>
      <w:r>
        <w:t xml:space="preserve">burden distribution, in percentage points of resources.</w:t>
      </w:r>
    </w:p>
    <w:p>
      <w:pPr>
        <w:pStyle w:val="BodyText"/>
      </w:pPr>
      <w:r>
        <w:t xml:space="preserve">One contrast carries the section. In the United States, being below the poverty line moves the median burden by</w:t>
      </w:r>
      <w:r>
        <w:t xml:space="preserve"> </w:t>
      </w:r>
      <w:r>
        <w:rPr>
          <w:b/>
          <w:bCs/>
        </w:rPr>
        <w:t xml:space="preserve">+0.09 percentage points</w:t>
      </w:r>
      <w:r>
        <w:t xml:space="preserve"> </w:t>
      </w:r>
      <w:r>
        <w:t xml:space="preserve">and the 95th percentile by</w:t>
      </w:r>
      <w:r>
        <w:t xml:space="preserve"> </w:t>
      </w:r>
      <w:r>
        <w:rPr>
          <w:b/>
          <w:bCs/>
        </w:rPr>
        <w:t xml:space="preserve">+25.24</w:t>
      </w:r>
      <w:r>
        <w:t xml:space="preserve"> </w:t>
      </w:r>
      <w:r>
        <w:t xml:space="preserve">(t = 21.1). In Nigeria the same variable moves the median by −0.78 and the 95th percentile by</w:t>
      </w:r>
      <w:r>
        <w:t xml:space="preserve"> </w:t>
      </w:r>
      <w:r>
        <w:rPr>
          <w:b/>
          <w:bCs/>
        </w:rPr>
        <w:t xml:space="preserve">−8.17</w:t>
      </w:r>
      <w:r>
        <w:t xml:space="preserve"> </w:t>
      </w:r>
      <w:r>
        <w:t xml:space="preserve">(t = −2.6). Poverty is the strongest predictor of extreme burden in the United States and a</w:t>
      </w:r>
      <w:r>
        <w:t xml:space="preserve"> </w:t>
      </w:r>
      <w:r>
        <w:rPr>
          <w:i/>
          <w:iCs/>
        </w:rPr>
        <w:t xml:space="preserve">protective</w:t>
      </w:r>
      <w:r>
        <w:t xml:space="preserve"> </w:t>
      </w:r>
      <w:r>
        <w:t xml:space="preserve">factor against it in Nigeria.</w:t>
      </w:r>
    </w:p>
    <w:p>
      <w:pPr>
        <w:pStyle w:val="BodyText"/>
      </w:pPr>
      <w:r>
        <w:t xml:space="preserve">That is the censoring mechanism, visible in a regression coefficient. A poor American household that needs expensive care receives it and is billed for it, and the bill enters the data. A poor Nigerian household in the same position does not receive the care, so nothing enters the data. The Nigerian coefficient is not evidence that poverty protects anyone; it is evidence that the measure stops working where poverty binds hardest.</w:t>
      </w:r>
    </w:p>
    <w:p>
      <w:pPr>
        <w:pStyle w:val="BodyText"/>
      </w:pPr>
      <w:r>
        <w:t xml:space="preserve">The remaining pattern is consistent with that reading. Chronic illness raises the 95th percentile in both countries but far more in Nigeria (+32.42 pp against +4.01), because American insurance absorbs much of the recurring cost that a Nigerian household pays in full. An elderly member raises the American 95th percentile by 7.72 points and the Nigerian by 6.34. Household size</w:t>
      </w:r>
      <w:r>
        <w:t xml:space="preserve"> </w:t>
      </w:r>
      <w:r>
        <w:rPr>
          <w:i/>
          <w:iCs/>
        </w:rPr>
        <w:t xml:space="preserve">lowers</w:t>
      </w:r>
      <w:r>
        <w:t xml:space="preserve"> </w:t>
      </w:r>
      <w:r>
        <w:t xml:space="preserve">the upper quantiles in the United States (−0.84 at the 95th), which is the per-capita arithmetic of a larger denominator rather than a health effect. Being uninsured for part of the year has small and mostly insignificant coefficients at every quantile once income is controlled for — consistent with Section 5.5, where the uninsured looked protected on measured spending because they were going without care.</w:t>
      </w:r>
    </w:p>
    <w:bookmarkEnd w:id="41"/>
    <w:bookmarkStart w:id="42" w:name="robustness"/>
    <w:p>
      <w:pPr>
        <w:pStyle w:val="Heading3"/>
      </w:pPr>
      <w:r>
        <w:t xml:space="preserve">5.7 Robustness</w:t>
      </w:r>
    </w:p>
    <w:p>
      <w:pPr>
        <w:pStyle w:val="FirstParagraph"/>
      </w:pPr>
      <w:r>
        <w:t xml:space="preserve">Table 9 reruns the entire comparison under eleven variants: dropping the pandemic year, using single years of MEPS in place of the pool, moving the income floor from $500 to $5,000, swapping Nigeria’s subsistence floor from the poverty line to Xu et al.’s food-share rule, equivalising the floor by household size, and refitting the tail at the 85th and 95th percentiles.</w:t>
      </w:r>
    </w:p>
    <w:p>
      <w:pPr>
        <w:pStyle w:val="BodyText"/>
      </w:pPr>
      <w:r>
        <w:rPr>
          <w:b/>
          <w:bCs/>
        </w:rPr>
        <w:t xml:space="preserve">The two claims the paper makes survive every variant.</w:t>
      </w:r>
      <w:r>
        <w:t xml:space="preserve"> </w:t>
      </w:r>
      <w:r>
        <w:t xml:space="preserve">Nigeria’s budget-share catastrophic rate exceeds the American one in 11 of 11, and the American tail shape exceeds the Nigerian one in 11 of 11 (Table 9b). Neither ordering is close to reversing anywhere: the narrowest budget-share gap is 7.0% against 17.2%, and the narrowest tail-shape gap is +0.670 against +0.007.</w:t>
      </w:r>
    </w:p>
    <w:p>
      <w:pPr>
        <w:pStyle w:val="BodyText"/>
      </w:pPr>
      <w:r>
        <w:rPr>
          <w:b/>
          <w:bCs/>
        </w:rPr>
        <w:t xml:space="preserve">One result the paper does not rest on does not survive, and we flag it plainly.</w:t>
      </w:r>
      <w:r>
        <w:t xml:space="preserve"> </w:t>
      </w:r>
      <w:r>
        <w:t xml:space="preserve">The capacity-to-pay comparison is an artefact of the subsistence floor. With the harmonised poverty-line floor, 39.5% of Nigerian households are catastrophic against 12.6% of US families. With Xu et al.’s food-share floor the Nigerian figure is</w:t>
      </w:r>
      <w:r>
        <w:t xml:space="preserve"> </w:t>
      </w:r>
      <w:r>
        <w:rPr>
          <w:b/>
          <w:bCs/>
        </w:rPr>
        <w:t xml:space="preserve">10.8%</w:t>
      </w:r>
      <w:r>
        <w:t xml:space="preserve">, against 11.0% for the United States — no gap at all. Equivalising the floor by household size gives 15.5% against 8.6%. The three answers span a factor of nearly four in Nigeria and barely move the United States, because half of Nigerian households sit below the poverty line and are therefore counted catastrophic by the below-floor rule, whereas only an eighth of American families are. Anyone comparing capacity-to-pay rates across countries at very different income levels should report the floor they used and the answer under at least one alternative.</w:t>
      </w:r>
    </w:p>
    <w:p>
      <w:pPr>
        <w:pStyle w:val="BodyText"/>
      </w:pPr>
      <w:r>
        <w:t xml:space="preserve">The tail measures are the most stable quantities in the paper. Expected shortfall at the 95th percentile moves between 32.7% and 48.2% in the United States across every variant and between 38.1% and 38.1% in Nigeria, and the shape parameter moves between +0.558 and +0.750 against a Nigerian range of +0.007 to +0.088. The income floor is what moves the American figures, as it must — raising it from $500 to $5,000 excludes the very families whose burden is largest — and even at the most conservative floor the American tail remains far heavier.</w:t>
      </w:r>
    </w:p>
    <w:bookmarkEnd w:id="42"/>
    <w:bookmarkStart w:id="43" w:name="the-absolute-comparison"/>
    <w:p>
      <w:pPr>
        <w:pStyle w:val="Heading3"/>
      </w:pPr>
      <w:r>
        <w:t xml:space="preserve">5.8 The absolute comparison</w:t>
      </w:r>
    </w:p>
    <w:p>
      <w:pPr>
        <w:pStyle w:val="FirstParagraph"/>
      </w:pPr>
      <w:r>
        <w:t xml:space="preserve">Everything above is relative burden. Table 8 converts what households actually pay into 2023 international dollars at the World Bank’s private-consumption PPP factor, which is the one comparison where the differing denominators do not matter.</w:t>
      </w:r>
    </w:p>
    <w:p>
      <w:pPr>
        <w:pStyle w:val="BodyText"/>
      </w:pPr>
      <w:r>
        <w:t xml:space="preserve">Mean out-of-pocket spending is</w:t>
      </w:r>
      <w:r>
        <w:t xml:space="preserve"> </w:t>
      </w:r>
      <w:r>
        <w:rPr>
          <w:b/>
          <w:bCs/>
        </w:rPr>
        <w:t xml:space="preserve">$1,194 per person per year in the United States against $142 in Nigeria</w:t>
      </w:r>
      <w:r>
        <w:t xml:space="preserve">, a ratio of 8.4. Mean resources per person are</w:t>
      </w:r>
      <w:r>
        <w:t xml:space="preserve"> </w:t>
      </w:r>
      <w:r>
        <w:rPr>
          <w:b/>
          <w:bCs/>
        </w:rPr>
        <w:t xml:space="preserve">$48,309 against $2,279</w:t>
      </w:r>
      <w:r>
        <w:t xml:space="preserve">, a ratio of 21.2. Americans pay far more in absolute terms and far less relative to what they have, which is the arithmetic behind the whole paper.</w:t>
      </w:r>
    </w:p>
    <w:p>
      <w:pPr>
        <w:pStyle w:val="BodyText"/>
      </w:pPr>
      <w:r>
        <w:t xml:space="preserve">The absolute ratio narrows up the distribution exactly as the relative one does: 17.3 at the median, 8.5 at the 90th percentile, 6.4 at the 99th. A private-consumption PPP is not a medical-price index and medical prices diverge from general ones in both countries, so these figures indicate what households pay rather than what they buy.</w:t>
      </w:r>
    </w:p>
    <w:bookmarkEnd w:id="43"/>
    <w:bookmarkEnd w:id="44"/>
    <w:bookmarkStart w:id="45"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One negative result belongs alongside the positive ones. The capacity-to-pay comparison, which on our harmonised floor looks like the widest gap in the paper, is not robust: it ranges from a threefold Nigerian excess to no excess at all depending on where the subsistence floor is drawn (Section 5.7). We report it and rest nothing on it. That fragility is itself a finding about the measure, not about the countries, and it is worse in exactly the setting where capacity-to-pay measures are most often used — comparisons involving a country where a large share of households sit below any plausible subsistence line.</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The quantile regressions make this concrete: poverty is the single strongest driver of extreme burden in the United States and a negative predictor of it in Nigeria. 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t xml:space="preserve">Our finding that the heaviest American tails belong to poor and near-poor families echoes Baird’s (2016b) conclusion that the United States compares least favourably with Canada precisely among poorer citizens. Two independent comparisons, different counterpart countries and different methods, point at the same subgroup.</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5"/>
    <w:bookmarkStart w:id="46"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7.</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0.12</w:t>
            </w:r>
          </w:p>
        </w:tc>
        <w:tc>
          <w:tcPr/>
          <w:p>
            <w:pPr>
              <w:pStyle w:val="Compact"/>
              <w:jc w:val="right"/>
            </w:pPr>
            <w:r>
              <w:t xml:space="preserve">0.04</w:t>
            </w:r>
          </w:p>
        </w:tc>
        <w:tc>
          <w:tcPr/>
          <w:p>
            <w:pPr>
              <w:pStyle w:val="Compact"/>
              <w:jc w:val="right"/>
            </w:pPr>
            <w:r>
              <w:t xml:space="preserve">3.42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-0.45</w:t>
            </w:r>
          </w:p>
        </w:tc>
        <w:tc>
          <w:tcPr/>
          <w:p>
            <w:pPr>
              <w:pStyle w:val="Compact"/>
              <w:jc w:val="right"/>
            </w:pPr>
            <w:r>
              <w:t xml:space="preserve">0.05</w:t>
            </w:r>
          </w:p>
        </w:tc>
        <w:tc>
          <w:tcPr/>
          <w:p>
            <w:pPr>
              <w:pStyle w:val="Compact"/>
              <w:jc w:val="right"/>
            </w:pPr>
            <w:r>
              <w:t xml:space="preserve">-9.62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0.79</w:t>
            </w:r>
          </w:p>
        </w:tc>
        <w:tc>
          <w:tcPr/>
          <w:p>
            <w:pPr>
              <w:pStyle w:val="Compact"/>
              <w:jc w:val="right"/>
            </w:pPr>
            <w:r>
              <w:t xml:space="preserve">0.04</w:t>
            </w:r>
          </w:p>
        </w:tc>
        <w:tc>
          <w:tcPr/>
          <w:p>
            <w:pPr>
              <w:pStyle w:val="Compact"/>
              <w:jc w:val="right"/>
            </w:pPr>
            <w:r>
              <w:t xml:space="preserve">22.43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0.71</w:t>
            </w:r>
          </w:p>
        </w:tc>
        <w:tc>
          <w:tcPr/>
          <w:p>
            <w:pPr>
              <w:pStyle w:val="Compact"/>
              <w:jc w:val="right"/>
            </w:pPr>
            <w:r>
              <w:t xml:space="preserve">0.03</w:t>
            </w:r>
          </w:p>
        </w:tc>
        <w:tc>
          <w:tcPr/>
          <w:p>
            <w:pPr>
              <w:pStyle w:val="Compact"/>
              <w:jc w:val="right"/>
            </w:pPr>
            <w:r>
              <w:t xml:space="preserve">23.66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-0.58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0.02</w:t>
            </w:r>
          </w:p>
        </w:tc>
        <w:tc>
          <w:tcPr/>
          <w:p>
            <w:pPr>
              <w:pStyle w:val="Compact"/>
              <w:jc w:val="right"/>
            </w:pPr>
            <w:r>
              <w:t xml:space="preserve">2.03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1.88</w:t>
            </w:r>
          </w:p>
        </w:tc>
        <w:tc>
          <w:tcPr/>
          <w:p>
            <w:pPr>
              <w:pStyle w:val="Compact"/>
              <w:jc w:val="right"/>
            </w:pPr>
            <w:r>
              <w:t xml:space="preserve">0.12</w:t>
            </w:r>
          </w:p>
        </w:tc>
        <w:tc>
          <w:tcPr/>
          <w:p>
            <w:pPr>
              <w:pStyle w:val="Compact"/>
              <w:jc w:val="right"/>
            </w:pPr>
            <w:r>
              <w:t xml:space="preserve">15.86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1.47</w:t>
            </w:r>
          </w:p>
        </w:tc>
        <w:tc>
          <w:tcPr/>
          <w:p>
            <w:pPr>
              <w:pStyle w:val="Compact"/>
              <w:jc w:val="right"/>
            </w:pPr>
            <w:r>
              <w:t xml:space="preserve">0.10</w:t>
            </w:r>
          </w:p>
        </w:tc>
        <w:tc>
          <w:tcPr/>
          <w:p>
            <w:pPr>
              <w:pStyle w:val="Compact"/>
              <w:jc w:val="right"/>
            </w:pPr>
            <w:r>
              <w:t xml:space="preserve">14.86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-0.73</w:t>
            </w:r>
          </w:p>
        </w:tc>
        <w:tc>
          <w:tcPr/>
          <w:p>
            <w:pPr>
              <w:pStyle w:val="Compact"/>
              <w:jc w:val="right"/>
            </w:pPr>
            <w:r>
              <w:t xml:space="preserve">0.11</w:t>
            </w:r>
          </w:p>
        </w:tc>
        <w:tc>
          <w:tcPr/>
          <w:p>
            <w:pPr>
              <w:pStyle w:val="Compact"/>
              <w:jc w:val="right"/>
            </w:pPr>
            <w:r>
              <w:t xml:space="preserve">-6.86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1.28</w:t>
            </w:r>
          </w:p>
        </w:tc>
        <w:tc>
          <w:tcPr/>
          <w:p>
            <w:pPr>
              <w:pStyle w:val="Compact"/>
              <w:jc w:val="right"/>
            </w:pPr>
            <w:r>
              <w:t xml:space="preserve">0.08</w:t>
            </w:r>
          </w:p>
        </w:tc>
        <w:tc>
          <w:tcPr/>
          <w:p>
            <w:pPr>
              <w:pStyle w:val="Compact"/>
              <w:jc w:val="right"/>
            </w:pPr>
            <w:r>
              <w:t xml:space="preserve">16.32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1.78</w:t>
            </w:r>
          </w:p>
        </w:tc>
        <w:tc>
          <w:tcPr/>
          <w:p>
            <w:pPr>
              <w:pStyle w:val="Compact"/>
              <w:jc w:val="right"/>
            </w:pPr>
            <w:r>
              <w:t xml:space="preserve">0.09</w:t>
            </w:r>
          </w:p>
        </w:tc>
        <w:tc>
          <w:tcPr/>
          <w:p>
            <w:pPr>
              <w:pStyle w:val="Compact"/>
              <w:jc w:val="right"/>
            </w:pPr>
            <w:r>
              <w:t xml:space="preserve">19.55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-1.41</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-0.01</w:t>
            </w:r>
          </w:p>
        </w:tc>
        <w:tc>
          <w:tcPr/>
          <w:p>
            <w:pPr>
              <w:pStyle w:val="Compact"/>
              <w:jc w:val="right"/>
            </w:pPr>
            <w:r>
              <w:t xml:space="preserve">0.04</w:t>
            </w:r>
          </w:p>
        </w:tc>
        <w:tc>
          <w:tcPr/>
          <w:p>
            <w:pPr>
              <w:pStyle w:val="Compact"/>
              <w:jc w:val="right"/>
            </w:pPr>
            <w:r>
              <w:t xml:space="preserve">-0.13</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9.64</w:t>
            </w:r>
          </w:p>
        </w:tc>
        <w:tc>
          <w:tcPr/>
          <w:p>
            <w:pPr>
              <w:pStyle w:val="Compact"/>
              <w:jc w:val="right"/>
            </w:pPr>
            <w:r>
              <w:t xml:space="preserve">0.45</w:t>
            </w:r>
          </w:p>
        </w:tc>
        <w:tc>
          <w:tcPr/>
          <w:p>
            <w:pPr>
              <w:pStyle w:val="Compact"/>
              <w:jc w:val="right"/>
            </w:pPr>
            <w:r>
              <w:t xml:space="preserve">21.32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6.29</w:t>
            </w:r>
          </w:p>
        </w:tc>
        <w:tc>
          <w:tcPr/>
          <w:p>
            <w:pPr>
              <w:pStyle w:val="Compact"/>
              <w:jc w:val="right"/>
            </w:pPr>
            <w:r>
              <w:t xml:space="preserve">0.33</w:t>
            </w:r>
          </w:p>
        </w:tc>
        <w:tc>
          <w:tcPr/>
          <w:p>
            <w:pPr>
              <w:pStyle w:val="Compact"/>
              <w:jc w:val="right"/>
            </w:pPr>
            <w:r>
              <w:t xml:space="preserve">18.97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-0.75</w:t>
            </w:r>
          </w:p>
        </w:tc>
        <w:tc>
          <w:tcPr/>
          <w:p>
            <w:pPr>
              <w:pStyle w:val="Compact"/>
              <w:jc w:val="right"/>
            </w:pPr>
            <w:r>
              <w:t xml:space="preserve">0.37</w:t>
            </w:r>
          </w:p>
        </w:tc>
        <w:tc>
          <w:tcPr/>
          <w:p>
            <w:pPr>
              <w:pStyle w:val="Compact"/>
              <w:jc w:val="right"/>
            </w:pPr>
            <w:r>
              <w:t xml:space="preserve">-1.99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2.54</w:t>
            </w:r>
          </w:p>
        </w:tc>
        <w:tc>
          <w:tcPr/>
          <w:p>
            <w:pPr>
              <w:pStyle w:val="Compact"/>
              <w:jc w:val="right"/>
            </w:pPr>
            <w:r>
              <w:t xml:space="preserve">0.23</w:t>
            </w:r>
          </w:p>
        </w:tc>
        <w:tc>
          <w:tcPr/>
          <w:p>
            <w:pPr>
              <w:pStyle w:val="Compact"/>
              <w:jc w:val="right"/>
            </w:pPr>
            <w:r>
              <w:t xml:space="preserve">11.04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4.46</w:t>
            </w:r>
          </w:p>
        </w:tc>
        <w:tc>
          <w:tcPr/>
          <w:p>
            <w:pPr>
              <w:pStyle w:val="Compact"/>
              <w:jc w:val="right"/>
            </w:pPr>
            <w:r>
              <w:t xml:space="preserve">0.27</w:t>
            </w:r>
          </w:p>
        </w:tc>
        <w:tc>
          <w:tcPr/>
          <w:p>
            <w:pPr>
              <w:pStyle w:val="Compact"/>
              <w:jc w:val="right"/>
            </w:pPr>
            <w:r>
              <w:t xml:space="preserve">16.41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0.02</w:t>
            </w:r>
          </w:p>
        </w:tc>
        <w:tc>
          <w:tcPr/>
          <w:p>
            <w:pPr>
              <w:pStyle w:val="Compact"/>
              <w:jc w:val="right"/>
            </w:pPr>
            <w:r>
              <w:t xml:space="preserve">0.33</w:t>
            </w:r>
          </w:p>
        </w:tc>
        <w:tc>
          <w:tcPr/>
          <w:p>
            <w:pPr>
              <w:pStyle w:val="Compact"/>
              <w:jc w:val="right"/>
            </w:pPr>
            <w:r>
              <w:t xml:space="preserve">0.05</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-0.38</w:t>
            </w:r>
          </w:p>
        </w:tc>
        <w:tc>
          <w:tcPr/>
          <w:p>
            <w:pPr>
              <w:pStyle w:val="Compact"/>
              <w:jc w:val="right"/>
            </w:pPr>
            <w:r>
              <w:t xml:space="preserve">0.11</w:t>
            </w:r>
          </w:p>
        </w:tc>
        <w:tc>
          <w:tcPr/>
          <w:p>
            <w:pPr>
              <w:pStyle w:val="Compact"/>
              <w:jc w:val="right"/>
            </w:pPr>
            <w:r>
              <w:t xml:space="preserve">-3.45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25.24</w:t>
            </w:r>
          </w:p>
        </w:tc>
        <w:tc>
          <w:tcPr/>
          <w:p>
            <w:pPr>
              <w:pStyle w:val="Compact"/>
              <w:jc w:val="right"/>
            </w:pPr>
            <w:r>
              <w:t xml:space="preserve">1.20</w:t>
            </w:r>
          </w:p>
        </w:tc>
        <w:tc>
          <w:tcPr/>
          <w:p>
            <w:pPr>
              <w:pStyle w:val="Compact"/>
              <w:jc w:val="right"/>
            </w:pPr>
            <w:r>
              <w:t xml:space="preserve">21.12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12.53</w:t>
            </w:r>
          </w:p>
        </w:tc>
        <w:tc>
          <w:tcPr/>
          <w:p>
            <w:pPr>
              <w:pStyle w:val="Compact"/>
              <w:jc w:val="right"/>
            </w:pPr>
            <w:r>
              <w:t xml:space="preserve">0.78</w:t>
            </w:r>
          </w:p>
        </w:tc>
        <w:tc>
          <w:tcPr/>
          <w:p>
            <w:pPr>
              <w:pStyle w:val="Compact"/>
              <w:jc w:val="right"/>
            </w:pPr>
            <w:r>
              <w:t xml:space="preserve">16.06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-0.66</w:t>
            </w:r>
          </w:p>
        </w:tc>
        <w:tc>
          <w:tcPr/>
          <w:p>
            <w:pPr>
              <w:pStyle w:val="Compact"/>
              <w:jc w:val="right"/>
            </w:pPr>
            <w:r>
              <w:t xml:space="preserve">0.85</w:t>
            </w:r>
          </w:p>
        </w:tc>
        <w:tc>
          <w:tcPr/>
          <w:p>
            <w:pPr>
              <w:pStyle w:val="Compact"/>
              <w:jc w:val="right"/>
            </w:pPr>
            <w:r>
              <w:t xml:space="preserve">-0.78</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4.01</w:t>
            </w:r>
          </w:p>
        </w:tc>
        <w:tc>
          <w:tcPr/>
          <w:p>
            <w:pPr>
              <w:pStyle w:val="Compact"/>
              <w:jc w:val="right"/>
            </w:pPr>
            <w:r>
              <w:t xml:space="preserve">0.47</w:t>
            </w:r>
          </w:p>
        </w:tc>
        <w:tc>
          <w:tcPr/>
          <w:p>
            <w:pPr>
              <w:pStyle w:val="Compact"/>
              <w:jc w:val="right"/>
            </w:pPr>
            <w:r>
              <w:t xml:space="preserve">8.55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7.72</w:t>
            </w:r>
          </w:p>
        </w:tc>
        <w:tc>
          <w:tcPr/>
          <w:p>
            <w:pPr>
              <w:pStyle w:val="Compact"/>
              <w:jc w:val="right"/>
            </w:pPr>
            <w:r>
              <w:t xml:space="preserve">0.60</w:t>
            </w:r>
          </w:p>
        </w:tc>
        <w:tc>
          <w:tcPr/>
          <w:p>
            <w:pPr>
              <w:pStyle w:val="Compact"/>
              <w:jc w:val="right"/>
            </w:pPr>
            <w:r>
              <w:t xml:space="preserve">12.96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-0.45</w:t>
            </w:r>
          </w:p>
        </w:tc>
        <w:tc>
          <w:tcPr/>
          <w:p>
            <w:pPr>
              <w:pStyle w:val="Compact"/>
              <w:jc w:val="right"/>
            </w:pPr>
            <w:r>
              <w:t xml:space="preserve">0.80</w:t>
            </w:r>
          </w:p>
        </w:tc>
        <w:tc>
          <w:tcPr/>
          <w:p>
            <w:pPr>
              <w:pStyle w:val="Compact"/>
              <w:jc w:val="right"/>
            </w:pPr>
            <w:r>
              <w:t xml:space="preserve">-0.57</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-0.84</w:t>
            </w:r>
          </w:p>
        </w:tc>
        <w:tc>
          <w:tcPr/>
          <w:p>
            <w:pPr>
              <w:pStyle w:val="Compact"/>
              <w:jc w:val="right"/>
            </w:pPr>
            <w:r>
              <w:t xml:space="preserve">0.25</w:t>
            </w:r>
          </w:p>
        </w:tc>
        <w:tc>
          <w:tcPr/>
          <w:p>
            <w:pPr>
              <w:pStyle w:val="Compact"/>
              <w:jc w:val="right"/>
            </w:pPr>
            <w:r>
              <w:t xml:space="preserve">-3.32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-0.46</w:t>
            </w:r>
          </w:p>
        </w:tc>
        <w:tc>
          <w:tcPr/>
          <w:p>
            <w:pPr>
              <w:pStyle w:val="Compact"/>
              <w:jc w:val="right"/>
            </w:pPr>
            <w:r>
              <w:t xml:space="preserve">0.34</w:t>
            </w:r>
          </w:p>
        </w:tc>
        <w:tc>
          <w:tcPr/>
          <w:p>
            <w:pPr>
              <w:pStyle w:val="Compact"/>
              <w:jc w:val="right"/>
            </w:pPr>
            <w:r>
              <w:t xml:space="preserve">-1.34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1.09</w:t>
            </w:r>
          </w:p>
        </w:tc>
        <w:tc>
          <w:tcPr/>
          <w:p>
            <w:pPr>
              <w:pStyle w:val="Compact"/>
              <w:jc w:val="right"/>
            </w:pPr>
            <w:r>
              <w:t xml:space="preserve">0.79</w:t>
            </w:r>
          </w:p>
        </w:tc>
        <w:tc>
          <w:tcPr/>
          <w:p>
            <w:pPr>
              <w:pStyle w:val="Compact"/>
              <w:jc w:val="right"/>
            </w:pPr>
            <w:r>
              <w:t xml:space="preserve">1.38</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2.45</w:t>
            </w:r>
          </w:p>
        </w:tc>
        <w:tc>
          <w:tcPr/>
          <w:p>
            <w:pPr>
              <w:pStyle w:val="Compact"/>
              <w:jc w:val="right"/>
            </w:pPr>
            <w:r>
              <w:t xml:space="preserve">0.34</w:t>
            </w:r>
          </w:p>
        </w:tc>
        <w:tc>
          <w:tcPr/>
          <w:p>
            <w:pPr>
              <w:pStyle w:val="Compact"/>
              <w:jc w:val="right"/>
            </w:pPr>
            <w:r>
              <w:t xml:space="preserve">7.32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0.51</w:t>
            </w:r>
          </w:p>
        </w:tc>
        <w:tc>
          <w:tcPr/>
          <w:p>
            <w:pPr>
              <w:pStyle w:val="Compact"/>
              <w:jc w:val="right"/>
            </w:pPr>
            <w:r>
              <w:t xml:space="preserve">0.26</w:t>
            </w:r>
          </w:p>
        </w:tc>
        <w:tc>
          <w:tcPr/>
          <w:p>
            <w:pPr>
              <w:pStyle w:val="Compact"/>
              <w:jc w:val="right"/>
            </w:pPr>
            <w:r>
              <w:t xml:space="preserve">1.95</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1.18</w:t>
            </w:r>
          </w:p>
        </w:tc>
        <w:tc>
          <w:tcPr/>
          <w:p>
            <w:pPr>
              <w:pStyle w:val="Compact"/>
              <w:jc w:val="right"/>
            </w:pPr>
            <w:r>
              <w:t xml:space="preserve">0.25</w:t>
            </w:r>
          </w:p>
        </w:tc>
        <w:tc>
          <w:tcPr/>
          <w:p>
            <w:pPr>
              <w:pStyle w:val="Compact"/>
              <w:jc w:val="right"/>
            </w:pPr>
            <w:r>
              <w:t xml:space="preserve">4.71</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0.19</w:t>
            </w:r>
          </w:p>
        </w:tc>
        <w:tc>
          <w:tcPr/>
          <w:p>
            <w:pPr>
              <w:pStyle w:val="Compact"/>
              <w:jc w:val="right"/>
            </w:pPr>
            <w:r>
              <w:t xml:space="preserve">0.04</w:t>
            </w:r>
          </w:p>
        </w:tc>
        <w:tc>
          <w:tcPr/>
          <w:p>
            <w:pPr>
              <w:pStyle w:val="Compact"/>
              <w:jc w:val="right"/>
            </w:pPr>
            <w:r>
              <w:t xml:space="preserve">4.60</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-0.75</w:t>
            </w:r>
          </w:p>
        </w:tc>
        <w:tc>
          <w:tcPr/>
          <w:p>
            <w:pPr>
              <w:pStyle w:val="Compact"/>
              <w:jc w:val="right"/>
            </w:pPr>
            <w:r>
              <w:t xml:space="preserve">0.81</w:t>
            </w:r>
          </w:p>
        </w:tc>
        <w:tc>
          <w:tcPr/>
          <w:p>
            <w:pPr>
              <w:pStyle w:val="Compact"/>
              <w:jc w:val="right"/>
            </w:pPr>
            <w:r>
              <w:t xml:space="preserve">-0.92</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1.77</w:t>
            </w:r>
          </w:p>
        </w:tc>
        <w:tc>
          <w:tcPr/>
          <w:p>
            <w:pPr>
              <w:pStyle w:val="Compact"/>
              <w:jc w:val="right"/>
            </w:pPr>
            <w:r>
              <w:t xml:space="preserve">0.97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8.69</w:t>
            </w:r>
          </w:p>
        </w:tc>
        <w:tc>
          <w:tcPr/>
          <w:p>
            <w:pPr>
              <w:pStyle w:val="Compact"/>
              <w:jc w:val="right"/>
            </w:pPr>
            <w:r>
              <w:t xml:space="preserve">1.07</w:t>
            </w:r>
          </w:p>
        </w:tc>
        <w:tc>
          <w:tcPr/>
          <w:p>
            <w:pPr>
              <w:pStyle w:val="Compact"/>
              <w:jc w:val="right"/>
            </w:pPr>
            <w:r>
              <w:t xml:space="preserve">8.11</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2.13</w:t>
            </w:r>
          </w:p>
        </w:tc>
        <w:tc>
          <w:tcPr/>
          <w:p>
            <w:pPr>
              <w:pStyle w:val="Compact"/>
              <w:jc w:val="right"/>
            </w:pPr>
            <w:r>
              <w:t xml:space="preserve">0.64</w:t>
            </w:r>
          </w:p>
        </w:tc>
        <w:tc>
          <w:tcPr/>
          <w:p>
            <w:pPr>
              <w:pStyle w:val="Compact"/>
              <w:jc w:val="right"/>
            </w:pPr>
            <w:r>
              <w:t xml:space="preserve">3.34</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2.02</w:t>
            </w:r>
          </w:p>
        </w:tc>
        <w:tc>
          <w:tcPr/>
          <w:p>
            <w:pPr>
              <w:pStyle w:val="Compact"/>
              <w:jc w:val="right"/>
            </w:pPr>
            <w:r>
              <w:t xml:space="preserve">0.71</w:t>
            </w:r>
          </w:p>
        </w:tc>
        <w:tc>
          <w:tcPr/>
          <w:p>
            <w:pPr>
              <w:pStyle w:val="Compact"/>
              <w:jc w:val="right"/>
            </w:pPr>
            <w:r>
              <w:t xml:space="preserve">2.83</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-0.10</w:t>
            </w:r>
          </w:p>
        </w:tc>
        <w:tc>
          <w:tcPr/>
          <w:p>
            <w:pPr>
              <w:pStyle w:val="Compact"/>
              <w:jc w:val="right"/>
            </w:pPr>
            <w:r>
              <w:t xml:space="preserve">0.09</w:t>
            </w:r>
          </w:p>
        </w:tc>
        <w:tc>
          <w:tcPr/>
          <w:p>
            <w:pPr>
              <w:pStyle w:val="Compact"/>
              <w:jc w:val="right"/>
            </w:pPr>
            <w:r>
              <w:t xml:space="preserve">-1.12</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-1.73</w:t>
            </w:r>
          </w:p>
        </w:tc>
        <w:tc>
          <w:tcPr/>
          <w:p>
            <w:pPr>
              <w:pStyle w:val="Compact"/>
              <w:jc w:val="right"/>
            </w:pPr>
            <w:r>
              <w:t xml:space="preserve">1.87</w:t>
            </w:r>
          </w:p>
        </w:tc>
        <w:tc>
          <w:tcPr/>
          <w:p>
            <w:pPr>
              <w:pStyle w:val="Compact"/>
              <w:jc w:val="right"/>
            </w:pPr>
            <w:r>
              <w:t xml:space="preserve">-0.93</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0.61</w:t>
            </w:r>
          </w:p>
        </w:tc>
        <w:tc>
          <w:tcPr/>
          <w:p>
            <w:pPr>
              <w:pStyle w:val="Compact"/>
              <w:jc w:val="right"/>
            </w:pPr>
            <w:r>
              <w:t xml:space="preserve">5.98</w:t>
            </w:r>
          </w:p>
        </w:tc>
        <w:tc>
          <w:tcPr/>
          <w:p>
            <w:pPr>
              <w:pStyle w:val="Compact"/>
              <w:jc w:val="right"/>
            </w:pPr>
            <w:r>
              <w:t xml:space="preserve">0.10</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5.11</w:t>
            </w:r>
          </w:p>
        </w:tc>
        <w:tc>
          <w:tcPr/>
          <w:p>
            <w:pPr>
              <w:pStyle w:val="Compact"/>
              <w:jc w:val="right"/>
            </w:pPr>
            <w:r>
              <w:t xml:space="preserve">1.37</w:t>
            </w:r>
          </w:p>
        </w:tc>
        <w:tc>
          <w:tcPr/>
          <w:p>
            <w:pPr>
              <w:pStyle w:val="Compact"/>
              <w:jc w:val="right"/>
            </w:pPr>
            <w:r>
              <w:t xml:space="preserve">3.73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2.49</w:t>
            </w:r>
          </w:p>
        </w:tc>
        <w:tc>
          <w:tcPr/>
          <w:p>
            <w:pPr>
              <w:pStyle w:val="Compact"/>
              <w:jc w:val="right"/>
            </w:pPr>
            <w:r>
              <w:t xml:space="preserve">1.62</w:t>
            </w:r>
          </w:p>
        </w:tc>
        <w:tc>
          <w:tcPr/>
          <w:p>
            <w:pPr>
              <w:pStyle w:val="Compact"/>
              <w:jc w:val="right"/>
            </w:pPr>
            <w:r>
              <w:t xml:space="preserve">1.54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-0.07</w:t>
            </w:r>
          </w:p>
        </w:tc>
        <w:tc>
          <w:tcPr/>
          <w:p>
            <w:pPr>
              <w:pStyle w:val="Compact"/>
              <w:jc w:val="right"/>
            </w:pPr>
            <w:r>
              <w:t xml:space="preserve">0.20</w:t>
            </w:r>
          </w:p>
        </w:tc>
        <w:tc>
          <w:tcPr/>
          <w:p>
            <w:pPr>
              <w:pStyle w:val="Compact"/>
              <w:jc w:val="right"/>
            </w:pPr>
            <w:r>
              <w:t xml:space="preserve">-0.37</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-2.28</w:t>
            </w:r>
          </w:p>
        </w:tc>
        <w:tc>
          <w:tcPr/>
          <w:p>
            <w:pPr>
              <w:pStyle w:val="Compact"/>
              <w:jc w:val="right"/>
            </w:pPr>
            <w:r>
              <w:t xml:space="preserve">3.33</w:t>
            </w:r>
          </w:p>
        </w:tc>
        <w:tc>
          <w:tcPr/>
          <w:p>
            <w:pPr>
              <w:pStyle w:val="Compact"/>
              <w:jc w:val="right"/>
            </w:pPr>
            <w:r>
              <w:t xml:space="preserve">-0.68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-8.93</w:t>
            </w:r>
          </w:p>
        </w:tc>
        <w:tc>
          <w:tcPr/>
          <w:p>
            <w:pPr>
              <w:pStyle w:val="Compact"/>
              <w:jc w:val="right"/>
            </w:pPr>
            <w:r>
              <w:t xml:space="preserve">13.99</w:t>
            </w:r>
          </w:p>
        </w:tc>
        <w:tc>
          <w:tcPr/>
          <w:p>
            <w:pPr>
              <w:pStyle w:val="Compact"/>
              <w:jc w:val="right"/>
            </w:pPr>
            <w:r>
              <w:t xml:space="preserve">-0.64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32.42</w:t>
            </w:r>
          </w:p>
        </w:tc>
        <w:tc>
          <w:tcPr/>
          <w:p>
            <w:pPr>
              <w:pStyle w:val="Compact"/>
              <w:jc w:val="right"/>
            </w:pPr>
            <w:r>
              <w:t xml:space="preserve">6.28</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6.34</w:t>
            </w:r>
          </w:p>
        </w:tc>
        <w:tc>
          <w:tcPr/>
          <w:p>
            <w:pPr>
              <w:pStyle w:val="Compact"/>
              <w:jc w:val="right"/>
            </w:pPr>
            <w:r>
              <w:t xml:space="preserve">2.42</w:t>
            </w:r>
          </w:p>
        </w:tc>
        <w:tc>
          <w:tcPr/>
          <w:p>
            <w:pPr>
              <w:pStyle w:val="Compact"/>
              <w:jc w:val="right"/>
            </w:pPr>
            <w:r>
              <w:t xml:space="preserve">2.62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1.59</w:t>
            </w:r>
          </w:p>
        </w:tc>
        <w:tc>
          <w:tcPr/>
          <w:p>
            <w:pPr>
              <w:pStyle w:val="Compact"/>
              <w:jc w:val="right"/>
            </w:pPr>
            <w:r>
              <w:t xml:space="preserve">2.76</w:t>
            </w:r>
          </w:p>
        </w:tc>
        <w:tc>
          <w:tcPr/>
          <w:p>
            <w:pPr>
              <w:pStyle w:val="Compact"/>
              <w:jc w:val="right"/>
            </w:pPr>
            <w:r>
              <w:t xml:space="preserve">0.58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0.11</w:t>
            </w:r>
          </w:p>
        </w:tc>
        <w:tc>
          <w:tcPr/>
          <w:p>
            <w:pPr>
              <w:pStyle w:val="Compact"/>
              <w:jc w:val="right"/>
            </w:pPr>
            <w:r>
              <w:t xml:space="preserve">0.33</w:t>
            </w:r>
          </w:p>
        </w:tc>
        <w:tc>
          <w:tcPr/>
          <w:p>
            <w:pPr>
              <w:pStyle w:val="Compact"/>
              <w:jc w:val="right"/>
            </w:pPr>
            <w:r>
              <w:t xml:space="preserve">0.34</w:t>
            </w:r>
          </w:p>
        </w:tc>
        <w:tc>
          <w:tcPr/>
          <w:p>
            <w:pPr>
              <w:pStyle w:val="Compact"/>
            </w:pPr>
          </w:p>
        </w:tc>
      </w:tr>
    </w:tbl>
    <w:p>
      <w:pPr>
        <w:pStyle w:val="BodyText"/>
      </w:pPr>
      <w:r>
        <w:rPr>
          <w:b/>
          <w:bCs/>
        </w:rPr>
        <w:t xml:space="preserve">Table 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9.</w:t>
      </w:r>
      <w:r>
        <w:t xml:space="preserve"> </w:t>
      </w:r>
      <w:r>
        <w:t xml:space="preserve">Robustness: the comparison under eleven variants.</w:t>
      </w:r>
    </w:p>
    <w:p>
      <w:pPr>
        <w:pStyle w:val="BodyText"/>
      </w:pPr>
      <w:r>
        <w:rPr>
          <w:i/>
          <w:iCs/>
        </w:rPr>
        <w:t xml:space="preserve">A variant matters only if it reverses the US-Nigeria ordering, not if it moves a level. The capacity-to-pay column is the one that is not robust; see Section 5.7.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ξ</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bl>
    <w:p>
      <w:pPr>
        <w:pStyle w:val="BodyText"/>
      </w:pPr>
      <w:r>
        <w:rPr>
          <w:b/>
          <w:bCs/>
        </w:rPr>
        <w:t xml:space="preserve">Table 9b.</w:t>
      </w:r>
      <w:r>
        <w:t xml:space="preserve"> </w:t>
      </w:r>
      <w:r>
        <w:t xml:space="preserve">Do the paper’s two claims hold in every variant?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2026-09-13T19:17:28Z</dcterms:created>
  <dcterms:modified xsi:type="dcterms:W3CDTF">2026-09-13T19:17:28Z</dcterms:modified>
</cp:coreProperties>
</file>

<file path=docProps/custom.xml><?xml version="1.0" encoding="utf-8"?>
<Properties xmlns="http://schemas.openxmlformats.org/officeDocument/2006/custom-properties" xmlns:vt="http://schemas.openxmlformats.org/officeDocument/2006/docPropsVTypes"/>
</file>