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整理C++文件-函数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整理函数关系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整体头文件-类和函数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整体类关系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分析交易，共识，加密</w:t>
      </w: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C++ file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CTxIn-入交易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CTxIn::IsMine()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矿工处理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int64 CTxIn::GetDebit()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获取发送方（借方）信息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CWalletTx-钱包交易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int64 CWalletTx::GetTxTime() const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获取交易时间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CWalletTx::AddSupportingTransactions(CTxDB&amp; txdb)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增加可支持的交易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CTransaction-交易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CTransaction::AcceptTransaction(CTxDB&amp; txdb, bool fCheckInputs, bool* pfMissingInputs)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接受交易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CTransaction::AddToMemoryPool()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增加到内存池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CMerkleTx-可信数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Merkle 可信树是为了</w:t>
      </w:r>
      <w:r>
        <w:rPr>
          <w:rFonts w:hint="eastAsia"/>
          <w:b/>
          <w:bCs/>
          <w:lang w:val="en-US" w:eastAsia="zh-CN"/>
        </w:rPr>
        <w:t>解决多重一次签名中的认证问题</w:t>
      </w:r>
      <w:r>
        <w:rPr>
          <w:rFonts w:hint="eastAsia"/>
          <w:lang w:val="en-US" w:eastAsia="zh-CN"/>
        </w:rPr>
        <w:t>而产生的，Merkle 可信树结构具有</w:t>
      </w:r>
      <w:r>
        <w:rPr>
          <w:rFonts w:hint="eastAsia"/>
          <w:b/>
          <w:bCs/>
          <w:lang w:val="en-US" w:eastAsia="zh-CN"/>
        </w:rPr>
        <w:t>一次签名大量认证</w:t>
      </w:r>
      <w:r>
        <w:rPr>
          <w:rFonts w:hint="eastAsia"/>
          <w:lang w:val="en-US" w:eastAsia="zh-CN"/>
        </w:rPr>
        <w:t>的优点，在认证方面具有显著的优势。如今，Merkle 可信树的树形结构已经被广泛应用到了信息安全的各个领域，比如</w:t>
      </w:r>
      <w:r>
        <w:rPr>
          <w:rFonts w:hint="eastAsia"/>
          <w:b/>
          <w:bCs/>
          <w:lang w:val="en-US" w:eastAsia="zh-CN"/>
        </w:rPr>
        <w:t>证书撤销、源组播认证、群密钥协商</w:t>
      </w:r>
      <w:r>
        <w:rPr>
          <w:rFonts w:hint="eastAsia"/>
          <w:lang w:val="en-US" w:eastAsia="zh-CN"/>
        </w:rPr>
        <w:t>等等。并且基于 Merkle 可信树的数字签名方案在安全性上</w:t>
      </w:r>
      <w:r>
        <w:rPr>
          <w:rFonts w:hint="eastAsia"/>
          <w:b/>
          <w:bCs/>
          <w:lang w:val="en-US" w:eastAsia="zh-CN"/>
        </w:rPr>
        <w:t>仅仅依赖于哈希函数</w:t>
      </w:r>
      <w:r>
        <w:rPr>
          <w:rFonts w:hint="eastAsia"/>
          <w:lang w:val="en-US" w:eastAsia="zh-CN"/>
        </w:rPr>
        <w:t>的安全性，且不需要太多的理论假设，这使得基于 Merkle 可信树的</w:t>
      </w:r>
      <w:r>
        <w:rPr>
          <w:rFonts w:hint="eastAsia"/>
          <w:b/>
          <w:bCs/>
          <w:lang w:val="en-US" w:eastAsia="zh-CN"/>
        </w:rPr>
        <w:t>数字签名更加安全、实用</w:t>
      </w:r>
      <w:r>
        <w:rPr>
          <w:rFonts w:hint="eastAsia"/>
          <w:lang w:val="en-US" w:eastAsia="zh-CN"/>
        </w:rPr>
        <w:t>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CMerkleTx::SetMerkleBranch(const CBlock* pblock)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设置可信树分支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AddKey(const CKey&amp; key)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增加key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vector&lt;unsigned char&gt; GenerateNewKey()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vector是一个类模板不是数据类型，但可以定义多种数据类型，vector &lt;类型&gt; 指定其保存元素的类型，如vector &lt;int&gt;是数据类型。类似于一个数组。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AddToWallet(const CWalletTx&amp; wtxIn)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增加到wallet钱包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AddToWalletIfMine(const CTransaction&amp; tx, const CBlock* pblock)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增加到矿工的钱包中，调用AddToWallet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EraseFromWallet(uint256 hash)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从钱包中清除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AddOrphanTx(const CDataStream&amp; vMsg)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增加一个orphan（独立的）交易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EraseOrphanTx(uint256 hash)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清除Orphan（独立的）交易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ProcessBlock(CNode* pfrom, CBlock* pblock)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处理区块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ScanMessageStart(Stream&amp; 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从头部开始浏览信息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ScanMessageStart(Stream&amp; s) 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使用方法详见附录1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GetAppDir()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获得app的目录信息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FILE* OpenBlockFile(unsigned int nFile, unsigned int nBlockPos, const char* pszMode)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打开区块文件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FILE* AppendBlockFile(unsigned int&amp; nFileRet)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增加区块文件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LoadBlockIndex(bool fAllowNew)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加载区块索引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PrintBlockTree()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打印区块数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AlreadyHave(CTxDB&amp; txdb, const CInv&amp; inv)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ProcessMessages(CNode* pfrom)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处理所有消息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ProcessMessage(CNode* pfrom, string strCommand, CDataStream&amp; vRecv)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处理消息，被处理所有消息调用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SendMessages(CNode* pto)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发送所有消息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FormatHashBlocks(void* pbuffer, unsigned int len)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格式化hash块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BlockSHA256(const void* pin, unsigned int nBlocks, void* pout)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块加密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BitcoinMiner()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比特币矿工（工人）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int64 GetBalance()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获得balance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SelectCoins(int64 nTargetValue, set&lt;CWalletTx*&gt;&amp; setCoinsRet)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选择币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CreateTransaction(CScript scriptPubKey, int64 nValue, CWalletTx&amp; wtxNew, int64&amp; nFeeRequiredRet)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创建交易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CommitTransactionSpent(const CWalletTx&amp; wtxNew)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提交交易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SendMoney(CScript scriptPubKey, int64 nValue, CWalletTx&amp; wtxNew)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C++ header file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这个是C++中的模板..template&lt;typename T&gt; 这个是定义模板的固定格式,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比如你想求2个int float 或double型变量的值,只需要定义这么一个函数就可以了,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假如不用模板的话,你就必须针对每种类型都定义一个sum函数..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sum(int, int);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sum(float, float);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 sum(double, double);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如果定义模块，则需要以下定义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template&lt;typename 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sum(T a, T 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深层次解释：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1.因为T是一个</w:t>
      </w:r>
      <w:r>
        <w:rPr>
          <w:rFonts w:hint="eastAsia"/>
          <w:b/>
          <w:bCs/>
          <w:lang w:val="en-US" w:eastAsia="zh-CN"/>
        </w:rPr>
        <w:t>模版实例化时才知道的类型</w:t>
      </w:r>
      <w:r>
        <w:rPr>
          <w:rFonts w:hint="eastAsia"/>
          <w:lang w:val="en-US" w:eastAsia="zh-CN"/>
        </w:rPr>
        <w:t>，所以编译器更对T不知所云，为了通知</w:t>
      </w:r>
      <w:r>
        <w:rPr>
          <w:rFonts w:hint="eastAsia"/>
          <w:b/>
          <w:bCs/>
          <w:lang w:val="en-US" w:eastAsia="zh-CN"/>
        </w:rPr>
        <w:t>编译器T是一个合法的类型，使用typename语句可以避免编译器报错</w:t>
      </w:r>
      <w:r>
        <w:rPr>
          <w:rFonts w:hint="eastAsia"/>
          <w:lang w:val="en-US" w:eastAsia="zh-CN"/>
        </w:rPr>
        <w:t xml:space="preserve">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2.template &lt; typename var_name &gt;表示var_name是一个类型， 在模版实例化时可以替换任意类型，不仅包括内置类型（int等），也包括自定义类型class。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换句话说，在template&lt;typename Y&gt;和template&lt;class Y&gt;中， typename和class的意义完全一样。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3.建议在这种语句中尽可能采用typename，以避免错觉（因为只能替换class,不能只换int),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这也是C++新标准引进typename关键词的一个初衷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///&lt;/summary&gt;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///&lt;remarks&gt;1:template的使用是为了简化不同类型的函数和类的重复定义.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///&lt;remarks&gt;2:char类型变量c,d输入的都是字母，不是数字，如输入32则c=3,d=2.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 "stdafx.h"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8F8F8"/>
        </w:rPr>
        <w:t>#include &lt;iostream&gt;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FFFFF"/>
        </w:rPr>
        <w:t>#include&lt;vector&gt;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std;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template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&lt;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typename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T&gt;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T mmax(T a,T b)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a&gt;b?a:b;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_tmain(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argc, _TCHAR* argv[])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{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"Please enter the value of a and b:"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a,b;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cin&gt;&gt;a&gt;&gt;b;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cout&lt;&lt;mmax(a,b)&lt;&lt;endl;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"Please enter the value of c and d:"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c,d;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cin&gt;&gt;c&gt;&gt;d;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cout&lt;&lt;mmax(c,d)&lt;&lt;endl;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cout&lt;&lt;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"Please enter the value of f and g:"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&lt;&lt;endl;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2E8B57"/>
          <w:spacing w:val="0"/>
          <w:sz w:val="18"/>
          <w:szCs w:val="18"/>
          <w:bdr w:val="none" w:color="auto" w:sz="0" w:space="0"/>
          <w:shd w:val="clear" w:fill="FFFFFF"/>
        </w:rPr>
        <w:t>double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f,g;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cin&gt;&gt;f&gt;&gt;g;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cout&lt;&lt;mmax(f,g)&lt;&lt;endl;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(1);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21"/>
          <w:szCs w:val="21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0;  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601" w:leftChars="0" w:right="0" w:rightChars="0" w:hanging="363" w:firstLineChars="0"/>
        <w:jc w:val="left"/>
        <w:textAlignment w:val="auto"/>
        <w:outlineLvl w:val="9"/>
        <w:rPr>
          <w:color w:val="5C5C5C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1F6811"/>
    <w:multiLevelType w:val="singleLevel"/>
    <w:tmpl w:val="CB1F68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889FE50"/>
    <w:multiLevelType w:val="multilevel"/>
    <w:tmpl w:val="2889FE5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76666"/>
    <w:rsid w:val="015647B5"/>
    <w:rsid w:val="01FE03D6"/>
    <w:rsid w:val="02085A73"/>
    <w:rsid w:val="03575120"/>
    <w:rsid w:val="03681CB3"/>
    <w:rsid w:val="04A801D1"/>
    <w:rsid w:val="04FB545E"/>
    <w:rsid w:val="05933213"/>
    <w:rsid w:val="05A32B84"/>
    <w:rsid w:val="05D14A09"/>
    <w:rsid w:val="0677153A"/>
    <w:rsid w:val="07141355"/>
    <w:rsid w:val="08072FF8"/>
    <w:rsid w:val="08555962"/>
    <w:rsid w:val="086A6953"/>
    <w:rsid w:val="09686714"/>
    <w:rsid w:val="0ABA5812"/>
    <w:rsid w:val="0B2A1319"/>
    <w:rsid w:val="0C3E5840"/>
    <w:rsid w:val="0C9E0729"/>
    <w:rsid w:val="0CBD5CCE"/>
    <w:rsid w:val="0D8D63F0"/>
    <w:rsid w:val="0F5259F4"/>
    <w:rsid w:val="103C2FF1"/>
    <w:rsid w:val="10B46BF4"/>
    <w:rsid w:val="11004B6B"/>
    <w:rsid w:val="115D149B"/>
    <w:rsid w:val="116E41A6"/>
    <w:rsid w:val="123D419D"/>
    <w:rsid w:val="12921B6F"/>
    <w:rsid w:val="12E22BA5"/>
    <w:rsid w:val="132A6A9D"/>
    <w:rsid w:val="136A579B"/>
    <w:rsid w:val="14B21227"/>
    <w:rsid w:val="15850CF9"/>
    <w:rsid w:val="161A2290"/>
    <w:rsid w:val="16266BDF"/>
    <w:rsid w:val="163F2306"/>
    <w:rsid w:val="170D6185"/>
    <w:rsid w:val="172B0101"/>
    <w:rsid w:val="17CA32E9"/>
    <w:rsid w:val="18062A01"/>
    <w:rsid w:val="19653FFA"/>
    <w:rsid w:val="196F54BA"/>
    <w:rsid w:val="1AD80FA2"/>
    <w:rsid w:val="1B241A69"/>
    <w:rsid w:val="1BEE4BA6"/>
    <w:rsid w:val="1C9C1BA0"/>
    <w:rsid w:val="1CA96610"/>
    <w:rsid w:val="1CD54B67"/>
    <w:rsid w:val="1D223DEC"/>
    <w:rsid w:val="1DE605A5"/>
    <w:rsid w:val="1DEF21AF"/>
    <w:rsid w:val="1EFF684F"/>
    <w:rsid w:val="1F0C24E0"/>
    <w:rsid w:val="1F6D5936"/>
    <w:rsid w:val="1FA742CE"/>
    <w:rsid w:val="1FC17753"/>
    <w:rsid w:val="205B1F09"/>
    <w:rsid w:val="20D065C1"/>
    <w:rsid w:val="21B61B13"/>
    <w:rsid w:val="2367551D"/>
    <w:rsid w:val="236E3D22"/>
    <w:rsid w:val="237F51FC"/>
    <w:rsid w:val="23ED4DA7"/>
    <w:rsid w:val="24893B3F"/>
    <w:rsid w:val="24AF3B10"/>
    <w:rsid w:val="24F93DC8"/>
    <w:rsid w:val="250F3F0F"/>
    <w:rsid w:val="262D4039"/>
    <w:rsid w:val="26696BDE"/>
    <w:rsid w:val="27332C60"/>
    <w:rsid w:val="278D12D2"/>
    <w:rsid w:val="27AD62BD"/>
    <w:rsid w:val="298365A5"/>
    <w:rsid w:val="29CA7012"/>
    <w:rsid w:val="2A0317FF"/>
    <w:rsid w:val="2B732DE7"/>
    <w:rsid w:val="2BD12520"/>
    <w:rsid w:val="2BEB526A"/>
    <w:rsid w:val="2C234319"/>
    <w:rsid w:val="2C8866A3"/>
    <w:rsid w:val="2C933B2E"/>
    <w:rsid w:val="2C9545A8"/>
    <w:rsid w:val="2DB63B46"/>
    <w:rsid w:val="2EBB0F99"/>
    <w:rsid w:val="2F5613CB"/>
    <w:rsid w:val="311711C2"/>
    <w:rsid w:val="313A6A6A"/>
    <w:rsid w:val="31DB0E79"/>
    <w:rsid w:val="32565819"/>
    <w:rsid w:val="328770E3"/>
    <w:rsid w:val="33285B3A"/>
    <w:rsid w:val="334627C2"/>
    <w:rsid w:val="33D4572A"/>
    <w:rsid w:val="33DF0ECB"/>
    <w:rsid w:val="3497647C"/>
    <w:rsid w:val="356A35BE"/>
    <w:rsid w:val="35B367EC"/>
    <w:rsid w:val="37241951"/>
    <w:rsid w:val="38B91B46"/>
    <w:rsid w:val="38DA7168"/>
    <w:rsid w:val="38F04B55"/>
    <w:rsid w:val="397F415E"/>
    <w:rsid w:val="39C17EAE"/>
    <w:rsid w:val="39D61E16"/>
    <w:rsid w:val="3A113BA7"/>
    <w:rsid w:val="3A1F58CF"/>
    <w:rsid w:val="3A56738B"/>
    <w:rsid w:val="3A677D0C"/>
    <w:rsid w:val="3ADB723D"/>
    <w:rsid w:val="3BC8491D"/>
    <w:rsid w:val="3BF83A43"/>
    <w:rsid w:val="3C070BAC"/>
    <w:rsid w:val="3C1020D5"/>
    <w:rsid w:val="3DCD32CB"/>
    <w:rsid w:val="3F434157"/>
    <w:rsid w:val="40BC6A84"/>
    <w:rsid w:val="41066D3A"/>
    <w:rsid w:val="41776D7D"/>
    <w:rsid w:val="429A583B"/>
    <w:rsid w:val="432505F8"/>
    <w:rsid w:val="441C748D"/>
    <w:rsid w:val="442554D1"/>
    <w:rsid w:val="45F71AA8"/>
    <w:rsid w:val="46CF7F3F"/>
    <w:rsid w:val="47671AB2"/>
    <w:rsid w:val="48943F34"/>
    <w:rsid w:val="48E37AB3"/>
    <w:rsid w:val="48F53A78"/>
    <w:rsid w:val="49566408"/>
    <w:rsid w:val="499F5925"/>
    <w:rsid w:val="4A3E1D29"/>
    <w:rsid w:val="4B3B04AF"/>
    <w:rsid w:val="4BE20CAA"/>
    <w:rsid w:val="4D003E90"/>
    <w:rsid w:val="4D5B394B"/>
    <w:rsid w:val="4D637A5C"/>
    <w:rsid w:val="4DBA667E"/>
    <w:rsid w:val="4E340038"/>
    <w:rsid w:val="4E837B43"/>
    <w:rsid w:val="4F875F81"/>
    <w:rsid w:val="4FAC498D"/>
    <w:rsid w:val="4FF018DF"/>
    <w:rsid w:val="50853301"/>
    <w:rsid w:val="50D5687F"/>
    <w:rsid w:val="517867B5"/>
    <w:rsid w:val="51B8593A"/>
    <w:rsid w:val="51C119BE"/>
    <w:rsid w:val="53570F36"/>
    <w:rsid w:val="53DC69D7"/>
    <w:rsid w:val="54831689"/>
    <w:rsid w:val="55247719"/>
    <w:rsid w:val="55262DD0"/>
    <w:rsid w:val="56370571"/>
    <w:rsid w:val="564F0FCF"/>
    <w:rsid w:val="56664558"/>
    <w:rsid w:val="57AF2EE9"/>
    <w:rsid w:val="58927B94"/>
    <w:rsid w:val="59372F89"/>
    <w:rsid w:val="59D14F17"/>
    <w:rsid w:val="5A296DE9"/>
    <w:rsid w:val="5AD01600"/>
    <w:rsid w:val="5B1E55DB"/>
    <w:rsid w:val="5B925B82"/>
    <w:rsid w:val="5C0D1091"/>
    <w:rsid w:val="5C827EC5"/>
    <w:rsid w:val="5DDE4FB3"/>
    <w:rsid w:val="5E105005"/>
    <w:rsid w:val="5E2738C2"/>
    <w:rsid w:val="5E533667"/>
    <w:rsid w:val="5EA2422A"/>
    <w:rsid w:val="5ED41350"/>
    <w:rsid w:val="604D2F87"/>
    <w:rsid w:val="60B134D7"/>
    <w:rsid w:val="619E01A1"/>
    <w:rsid w:val="61F23A09"/>
    <w:rsid w:val="629E2568"/>
    <w:rsid w:val="62C13E2B"/>
    <w:rsid w:val="631A7229"/>
    <w:rsid w:val="63AA7E33"/>
    <w:rsid w:val="65B326F7"/>
    <w:rsid w:val="66C51CA6"/>
    <w:rsid w:val="68051AF3"/>
    <w:rsid w:val="698A71C7"/>
    <w:rsid w:val="698D642F"/>
    <w:rsid w:val="69974884"/>
    <w:rsid w:val="69FF369A"/>
    <w:rsid w:val="6AC16C5B"/>
    <w:rsid w:val="6AD414FC"/>
    <w:rsid w:val="6C4A3F3F"/>
    <w:rsid w:val="6C8040BA"/>
    <w:rsid w:val="6DE71447"/>
    <w:rsid w:val="6DFF36DE"/>
    <w:rsid w:val="6F1D4A3F"/>
    <w:rsid w:val="6FCB73AC"/>
    <w:rsid w:val="70143072"/>
    <w:rsid w:val="70E6767B"/>
    <w:rsid w:val="712B56CE"/>
    <w:rsid w:val="72282A83"/>
    <w:rsid w:val="72642E43"/>
    <w:rsid w:val="755B23FE"/>
    <w:rsid w:val="75911484"/>
    <w:rsid w:val="75D663BA"/>
    <w:rsid w:val="76C14C2A"/>
    <w:rsid w:val="76DE7F1E"/>
    <w:rsid w:val="796A59C3"/>
    <w:rsid w:val="79E52DC0"/>
    <w:rsid w:val="7AAF70E6"/>
    <w:rsid w:val="7BCC2556"/>
    <w:rsid w:val="7C2E6AEB"/>
    <w:rsid w:val="7D2035C4"/>
    <w:rsid w:val="7D38398F"/>
    <w:rsid w:val="7DA8691D"/>
    <w:rsid w:val="7DBF4456"/>
    <w:rsid w:val="7E031199"/>
    <w:rsid w:val="7EBF5065"/>
    <w:rsid w:val="7F007021"/>
    <w:rsid w:val="7FBF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kerry</cp:lastModifiedBy>
  <dcterms:modified xsi:type="dcterms:W3CDTF">2018-03-29T15:48:29Z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