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Employee handbook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Welcome to the company. Vacation requests must be filed three weeks in advance.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Remote work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Employees may work remotely two days per week with the approval of their manager. Ã‰quipement and cafÃ© expenses are not reimbursed.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Expenses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Travel expenses are reimbursed within thirty days after the receipt is submitted.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