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Appetite Control Care Jelly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értékű, kiegyensúlyozott táp ivartalanított felnőtt macskák részére - 12 hónapos kortól - segít csökkenteni a kéregetést és meggátolja a túlsúlyt - (vékonyfalatkák kocsonyában)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Összetétel: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Hús és állati származékok, hal és halszármazékok, gabonák, növényi eredetű származékok, növényifehérje-kivonatok, ásványi anyagok.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Adalékanyagok (kilogrammonként):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Tápértékkel rendelkező adalékanyagok: D3-vitamin: 110 NE; Vas (3b103): 3 mg; Jód (3b202): 0,26 mg; Réz (3b405, 3b406): 2,1 mg; Mangán (3b502, 3b503, 3b504): 1 mg; Cink (3b603, 3b605, 3b606): 10 mg.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Átlagos beltartalom: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Fehérje: 8,2%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Zsírtartalom: 2,3%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Nyersrost: 0,9%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Nyershamu: 1,8%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(NFE): 4,3%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