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Sensible 33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8oja1n3i2uef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felnőtt macskák részére, 1 éves kor felett - Emésztési érzékenység esetén.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akzx4cawhul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fbvmxgoofe0v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rizs, állati zsiradékok, kukorica, növényi fehérje kivonat*, dehidratált sertésfehérje*, hidrolizált állati fehérjék, búza, kukoricaglutén, cukorrépapép, élesztők, halolaj, ásványi sók, növényi rostok, szójaolaj, frukto-oligoszacharidok.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b4a02hkmrrj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joda6swmx72e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18500 NE, D3 vitamin: 1000 NE, E1 (Vas): 38 mg, E2 (Jód): 3,8 mg, E4 (Réz): 12 mg, E5 (Mangán): 50 mg, E6 (Cink): 150 mg, E8 (Szelén): 0,1 mg - Technológiai adalékanyagok: Üledékes eredetű klinoptilolit: 5 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r6lge0lufrr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yvbeigruej4r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33 % - Nyersolajok és -zsírok: 22 % - Nyershamu: 7,4 % - Nyersrost: 1,6 %.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ongmjjdw6u3v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8BbXHhya7/IaTGKdO1pc/I1UiA==">AMUW2mWyhkPP/Td1P1tVGBP0J6aTH8Wq/KeN7sEzIvYvZdtKrVUqZlqHuP0tFb80Q+t3TD0tNdv+013hUpuoam8MQg3IPgsNkmvmHWHhL42JHSMNxMLOk6PzBAOW21mDTfip+ls/4QgZkdvht2MW2sXGSyazj9ti7c/lheViz9e1XshZzGoTv15L7jwciMLkMfBoajGhPronIGTvRnjyl3iPq0cCcwNNZgPuIFXs1A8kWDXhriWy2j0dQuESN3sll1/p/+2SZovcaCYjqboz5h9YR5ATVfZyVK57IMD7iIcX+Wlo/4COT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2017-05-03T08:58:00Z</dcterms:created>
  <dc:creator>Olah, Veronika (Contractor)</dc:creator>
</cp:coreProperties>
</file>