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Adult 5+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nagytestű fajták számára (26 és 44 kg közötti felnőttkori testtömeg) - 5 éves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Dehidratált baromfifehérje, rizs, állati zsiradékok, búza, búzaliszt, kukoricaliszt, növényi fehérje kivonat*, hidrolizált állati fehérjék, kukoricaglutén, kukorica, növényi rostok, cukorrépapép, halolaj, szójaolaj, élesztő és annak részei, ásványi sók, Psyllium maghéj és mag, frukto-oligoszacharidok, borágó olaj,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22500 NE, D3 vitamin: 1000 NE, E1 (Vas): 41 mg, E2 (Jód): 4,1 mg, E4 (Réz): 13 mg, E5 (Mangán): 53 mg, E6 (Cink): 132 mg, E8 (Szelén): 0,09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26,0 % - Nyersolajok és -zsírok: 17,0 % - Nyershamu: 5,9 % - Nyersrost: 2,6 %.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5azKQqaLhRNENT38nmvZv2aLQ==">AMUW2mWFxhis9oJBVn20ACkwS+E4+NWYNUslT8WZ1yKSxPgyBGkhH6Sp8k9w6pMgFp8FQqwo/9UuTIKoHSPl3ugnwFPxE2wXr2BthVkdJPUG9PLJt7GRJYU=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2017-05-08T08:11:00Z</dcterms:created>
  <dc:creator>Olah, Veronika (Contractor)</dc:creator>
</cp:coreProperties>
</file>