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 Adult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nagytestű fajták számára (26-44 kg) - 15 hónapostól 8 éves korig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olajok és zsírok, gabonafélék, növényi eredetű származékok, növényi fehérjekivonatok, ásványi anyagok, különféle cukrok, puhatestűek és rákfélék.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200 NE, E1 (Vas): 3 mg, E2 (Jód): 0,26 mg, E4 (Réz): 2 mg, E5 (Mangán): 1 mg, E6 (Cink): 10 mg - Technológiai adalékanyagok: Üledékes eredetű klinoptilolit: 2 g.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7,5 % - Nyersolajok és -zsírok: 5,5 % - Nyershamu: 1,5 % - Nyersrost: 1,4 % - Nedvesség: 81,0 % - Omega-3 zsírsavak: 0,1 % - EPA és DHA: 0,08 %.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xVOUHpnGDGsxDCnelsBw0EzIQ==">AMUW2mUerocM7Mb9R0eO5idrDnIyEag/pEE0cXU7hl0LipikT2VW5e+WJxLa4RLpAmHQ88iG3uJMQb1TT3kY8LTt4LTmx68FOukCfFZ4LcZOsDSIHTCi8A8=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